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ED" w:rsidRDefault="00A507ED" w:rsidP="00BD1CB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1CBA" w:rsidRDefault="00BD1CBA" w:rsidP="00BD1CB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507ED" w:rsidRPr="00A507ED" w:rsidRDefault="00A507ED" w:rsidP="00BD1CB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4233" w:type="dxa"/>
        <w:tblCellSpacing w:w="0" w:type="dxa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5528"/>
        <w:gridCol w:w="2468"/>
      </w:tblGrid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CBA" w:rsidRPr="00051E6C" w:rsidRDefault="00BD1CBA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CBA" w:rsidRPr="00051E6C" w:rsidRDefault="00BD1CBA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CBA" w:rsidRPr="00051E6C" w:rsidRDefault="00BD1CBA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CBA" w:rsidRPr="00051E6C" w:rsidRDefault="00BD1CBA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doi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436CB5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524E3D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Леонтьев В.К., Воронин В.Ф., Шестаков В.Т. Микрофлора полости рта.- Москва</w:t>
            </w:r>
            <w:proofErr w:type="gramStart"/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gramEnd"/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2000.-21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524E3D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Leontyev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V.K.,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Voronin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V.F.,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Shestakov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V.T.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Microflora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of the oral cavity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, 2000, 21p.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524E3D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1E6C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E6C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E6C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Митропанова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Любомирская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Е.О. Цитокины крови у детей с врожденными расщелинами губы и неба // Кубанский научный м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едицинский вестник.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- 2016. - №4(159). - С.79-82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E6C" w:rsidRPr="00051E6C" w:rsidRDefault="00051E6C" w:rsidP="00051E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Mitropanova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M.N.,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Gaivoronskaya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T.V.,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Lyubomirskaya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E.O.</w:t>
            </w: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Blood cytokines in children with congenital cleft lip and palate // </w:t>
            </w:r>
            <w:r w:rsidRPr="00051E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uban Scientific Medical Journal,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2016, no.4 (159), </w:t>
            </w: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.79-82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E6C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524E3D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Мусаходжаева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Иноятов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А.Ш., Якубов Ш.Н. Некоторые показатели иммунной системы детей с врожденной расщелиной губы и неба. // Проблемы биологии и медицины.- 2011.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№4 (67)</w:t>
            </w:r>
            <w:r w:rsidR="007C44F2"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-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С.33.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7C44F2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Musakhodzhaeva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D.A.,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Inoyatov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A.Sh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Yakubov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Sh.N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Some indicators of the immune system of children with congenital cleft lip and palate. </w:t>
            </w:r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Problems of biology and medicine, 2011, no. 4 (67), pp.33.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E3D" w:rsidRPr="00051E6C" w:rsidRDefault="00524E3D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A23AD7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И.В.,Колесникова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Чудилова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Г. А., Ломтатидзе Л.В., Ковалева С. В.,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Евглевский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Нгуен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Т.З.Л. Новый взгляд на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нейтрофильные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гранулоциты: переосмысление старых догм. </w:t>
            </w:r>
            <w:r w:rsidR="00403870"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(Часть 1)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// Инфекция и иммунитет. – 2017. - Т.7, №3. – С.219-230.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A23AD7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Nesterova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Kolesnikova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Chudilova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G.A.,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Lomtatidze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Kovaleva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Yevlevsky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A.A., Nguyen T.Z.L. A new look at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neutrophilic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granulocytes: rethinking old dogmas.</w:t>
            </w:r>
            <w:r w:rsidR="00DB0BBD"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Part 1. </w:t>
            </w:r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Infection </w:t>
            </w:r>
            <w:proofErr w:type="gramStart"/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 immunity</w:t>
            </w:r>
            <w:proofErr w:type="gramEnd"/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2017, Vol.7, no.3, pp. 219-230.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A23AD7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10.15789/2220-7619-2017-3-219-230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A23AD7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Нестерова И.В.,</w:t>
            </w:r>
            <w:r w:rsidR="00721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Н.В.,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Чудилова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Г. А., Ломтатидзе Л.В., Ковалева С. В.,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Евглевский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Нгуен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Т.З.Л. Новый взгляд на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нейтрофильные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гранулоциты: переосмысление старых догм.</w:t>
            </w:r>
            <w:r w:rsidRPr="00051E6C">
              <w:rPr>
                <w:sz w:val="28"/>
                <w:szCs w:val="28"/>
              </w:rPr>
              <w:t xml:space="preserve">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(Часть 2)  // Инфекция и иммунитет. –</w:t>
            </w:r>
            <w:r w:rsidR="00403870"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- 2018. – Т. 8,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№1. -С.7-18.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403870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Nesterova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Kolesnikova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Chudilova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G.A.,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Lomtatidze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Kovaleva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Yevlevsky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A.A., Nguyen T.Z.L. A new look at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neutrophilic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granulocytes: rethinking old dogmas. </w:t>
            </w:r>
            <w:r w:rsidR="00DB0BBD"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Part 2. </w:t>
            </w:r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Infection </w:t>
            </w:r>
            <w:proofErr w:type="gramStart"/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 immunity</w:t>
            </w:r>
            <w:proofErr w:type="gramEnd"/>
            <w:r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2018, Vol.8, no.1, pp. 7-18.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DB0BBD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10.15789/2220-7619-2018-1-7-18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A23AD7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И.В.,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Чудилова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Г.А., Ковалева С.В., Ло</w:t>
            </w:r>
            <w:r w:rsidR="00353444"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мтатидзе Л.В., Колесникова Н.В., </w:t>
            </w:r>
            <w:proofErr w:type="spellStart"/>
            <w:r w:rsidR="00353444" w:rsidRPr="00051E6C">
              <w:rPr>
                <w:rFonts w:ascii="Times New Roman" w:hAnsi="Times New Roman" w:cs="Times New Roman"/>
                <w:sz w:val="28"/>
                <w:szCs w:val="28"/>
              </w:rPr>
              <w:t>Евглевский</w:t>
            </w:r>
            <w:proofErr w:type="spellEnd"/>
            <w:r w:rsidR="00353444"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Методы комплексной оценки функциональной активности </w:t>
            </w: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нейтрофильных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 xml:space="preserve"> гранулоцитов в норме и патологии (методические рекомендации). </w:t>
            </w:r>
            <w:proofErr w:type="gramStart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051E6C">
              <w:rPr>
                <w:rFonts w:ascii="Times New Roman" w:hAnsi="Times New Roman" w:cs="Times New Roman"/>
                <w:sz w:val="28"/>
                <w:szCs w:val="28"/>
              </w:rPr>
              <w:t>раснодар., 2017. - 52с.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353444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Nesterova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Chudilova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G.A.,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Kovaleva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Lomtatidze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Kolesnikova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N.V., </w:t>
            </w:r>
            <w:proofErr w:type="spellStart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Yevlevsky</w:t>
            </w:r>
            <w:proofErr w:type="spellEnd"/>
            <w:r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 </w:t>
            </w:r>
            <w:r w:rsidR="00DB0BBD" w:rsidRPr="0005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Methods for comprehensive assessment of the functional activity of neutrophil granulocytes in health and disease (guidelines), </w:t>
            </w:r>
            <w:r w:rsidR="00DB0BBD" w:rsidRPr="00051E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Krasnodar., 2017, 52p.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D7" w:rsidRPr="00051E6C" w:rsidRDefault="00A23AD7" w:rsidP="00051E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CB5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CB5" w:rsidRPr="00051E6C" w:rsidRDefault="00A23D96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Annemiek B. van Spriel, Jeanette H. W. Leusen, Marjolein van Egmond, Henry B. P. M. Dijkman, Karel J. M. Assmann, Tanya N. Mayadas and Jan G. J. van de Winkel. </w:t>
            </w:r>
            <w:r w:rsidR="00436CB5" w:rsidRPr="00051E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Mac-1 (CD11b/CD18) is essential for Fc receptor-mediated neutrophil cytotoxicity and i</w:t>
            </w:r>
            <w:r w:rsidRPr="00051E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mmunologic synapse formation.</w:t>
            </w:r>
            <w:r w:rsidR="00436CB5" w:rsidRPr="00051E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436CB5"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Blood. </w:t>
            </w: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2001, Vol. 97, no</w:t>
            </w:r>
            <w:r w:rsidR="001F6E4B"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8, pp</w:t>
            </w:r>
            <w:r w:rsidR="00436CB5"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 2478-2486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CB5" w:rsidRPr="00051E6C" w:rsidRDefault="00436CB5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6CB5" w:rsidRPr="00051E6C" w:rsidRDefault="00436CB5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doi:https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://doi.org/10.1182/blood.V97.8.2478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D96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D96" w:rsidRPr="00051E6C" w:rsidRDefault="00A23D96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Elghetany</w:t>
            </w:r>
            <w:proofErr w:type="spellEnd"/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T. </w:t>
            </w:r>
            <w:r w:rsidRPr="00051E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Surface Antigen Changes during Normal </w:t>
            </w:r>
            <w:proofErr w:type="spellStart"/>
            <w:r w:rsidRPr="00051E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Neutrophilic</w:t>
            </w:r>
            <w:proofErr w:type="spellEnd"/>
            <w:r w:rsidRPr="00051E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Development: A Critical Review</w:t>
            </w:r>
            <w:r w:rsidR="001F6E4B"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Blood Ce</w:t>
            </w:r>
            <w:r w:rsidR="001F6E4B"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lls, Molecules, and Diseases. 2002, 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F6E4B"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F6E4B" w:rsidRPr="00051E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28, no.</w:t>
            </w:r>
            <w:r w:rsidR="001F6E4B"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 pp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260–274.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D96" w:rsidRPr="00051E6C" w:rsidRDefault="00A23D96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D96" w:rsidRPr="00051E6C" w:rsidRDefault="00A23D96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 http://dx.doi.org/10.15789/2220-7619-2017-3-219-230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Fine N.,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Hassanpour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Borenstein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Sima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Oveisi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Scholey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Cherney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Glogauer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M. </w:t>
            </w:r>
            <w:r w:rsidRPr="00051E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Distinct Oral Neutrophil Subsets Define Health and Periodontal Disease States. </w:t>
            </w: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 Dent</w:t>
            </w:r>
            <w:r w:rsidR="00B165D8"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Res. 2016, Vol.95, no.8, pp.931-938.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10.1177/0022034516645564.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Gao</w:t>
            </w:r>
            <w:proofErr w:type="spellEnd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L., </w:t>
            </w:r>
            <w:proofErr w:type="spellStart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Xu</w:t>
            </w:r>
            <w:proofErr w:type="spellEnd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, T., Huang G., Jiang S., </w:t>
            </w:r>
            <w:proofErr w:type="spellStart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Gu</w:t>
            </w:r>
            <w:proofErr w:type="spellEnd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Y., Chen F. Oral </w:t>
            </w:r>
            <w:proofErr w:type="spellStart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microbiomes</w:t>
            </w:r>
            <w:proofErr w:type="spellEnd"/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: more and more importance in oral cavity and whole body. </w:t>
            </w:r>
            <w:r w:rsidRPr="00051E6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 w:eastAsia="en-US"/>
              </w:rPr>
              <w:t>Protein &amp; cell</w:t>
            </w:r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. 2018, Vol.</w:t>
            </w:r>
            <w:r w:rsidRPr="00051E6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 w:eastAsia="en-US"/>
              </w:rPr>
              <w:t>9, no.</w:t>
            </w:r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5, pp.488-500.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DOI: </w:t>
            </w:r>
            <w:hyperlink r:id="rId5" w:tgtFrame="pmc_ext" w:history="1">
              <w:r w:rsidRPr="00051E6C">
                <w:rPr>
                  <w:rFonts w:ascii="Times New Roman" w:eastAsia="Calibri" w:hAnsi="Times New Roman" w:cs="Times New Roman"/>
                  <w:sz w:val="28"/>
                  <w:szCs w:val="28"/>
                  <w:lang w:val="en-US" w:eastAsia="en-US"/>
                </w:rPr>
                <w:t>10.1007 / s13238-018-0548-1</w:t>
              </w:r>
            </w:hyperlink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Haziot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A.I.,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Tsuberi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B.Z.,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Goyert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S.M..</w:t>
            </w:r>
            <w:proofErr w:type="gram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Neutrophil CD14: biochemical properties and role in the secretion of tumor necrosis factor-alpha in response to lipopolysaccharide. J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 1993, Vol.150, no.12, pp.5556-5565.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C9C" w:rsidRPr="00051E6C" w:rsidRDefault="00C52C9C" w:rsidP="00051E6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https://www.ncbi.nlm.nih.gov/pubmed/7685797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Hajishengallis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Lambris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J.D. Microbial manipulation of receptor crosstalk in innate immunity. Nat Rev </w:t>
            </w:r>
            <w:proofErr w:type="spellStart"/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., 2011, Vol.11, no.3, pp.187-200.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</w:rPr>
              <w:t>DOI: </w:t>
            </w:r>
            <w:hyperlink r:id="rId6" w:tgtFrame="pmc_ext" w:history="1">
              <w:r w:rsidRPr="00051E6C">
                <w:rPr>
                  <w:rFonts w:ascii="Times New Roman" w:hAnsi="Times New Roman" w:cs="Times New Roman"/>
                  <w:sz w:val="28"/>
                  <w:szCs w:val="28"/>
                </w:rPr>
                <w:t>10.1038/nri2918</w:t>
              </w:r>
            </w:hyperlink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Imler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J.L., Hoffmann J.A. Signaling mechanisms in the antimicrobial host defense of Drosophila. Current opinion in microbiology. 2000, Vol.3, pp.16-22.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DOI: </w:t>
            </w:r>
            <w:r w:rsidRPr="00051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https://doi.org/10.1016/j.ijmm.2007.04.001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Jerala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R. Structural biology of the LPS recognition. Int. J. Med.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Microbiol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 2007, no. 297, pp.353–363.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DOI:https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://doi.org/10.1016/j.ijmm.2007.04.001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Kurt-Jones E.A.,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Popova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Kwinn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L., Haynes L.M., Jones L.P., Tripp R.A., Walsh E.E., Freeman M.W.,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Golenbock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D.T., Anderson L.J., Finberg R.W. Pattern recognition receptors TLR4 and CD14 mediate response to respiratory syncytial virus. Nat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 2000, Vol.1, no.5, pp.398-401.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DOI:10.1038/80833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Mc.Avoy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E. F.,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Mc.Donald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B., Parsons S.A., Wong C. H.,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Landmann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Kubes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P.. The Role of CD14 in neutrophil recruitment within the liver microcirculation during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endotoxemia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 The Journal of Immunology. 2011, Vol.186, no.4, pp. 2592-2601.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721D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721D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 10.4049/jimmunol.1002248.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Rodeberg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D.A.</w:t>
            </w:r>
            <w:proofErr w:type="gram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,  Morris</w:t>
            </w:r>
            <w:proofErr w:type="gram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R.E.,  Babcock G.F.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Azurophilic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granules of human neutrophils contain CD14. Infect. </w:t>
            </w:r>
            <w:proofErr w:type="gram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Immun..</w:t>
            </w:r>
            <w:proofErr w:type="gram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1997, Vol. 65, pp. 4747-4753.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https://www.ncbi.nlm.nih.gov/pubmed/9353060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Uriarte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Edmisson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J.S., Jimenez-Flores E. Human neutrophils and oral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microbiota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: a constant tug-of-war between a harmonious and a discordant coexistence.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Rev. 2016, </w:t>
            </w: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>Vol.273, no.1, pp.282-298.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 http://dx.doi.org/10.1111/imr.12451</w:t>
            </w:r>
          </w:p>
        </w:tc>
      </w:tr>
      <w:tr w:rsidR="00C67624" w:rsidRPr="00051E6C" w:rsidTr="001F6E4B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E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Wagner C.</w:t>
            </w:r>
            <w:proofErr w:type="gram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Deppisch</w:t>
            </w:r>
            <w:proofErr w:type="spellEnd"/>
            <w:proofErr w:type="gram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R., 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Denefleh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B.,  Hug F.,  Andrassy K., 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Hänsch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M.. Expression patterns of the lipopolysaccharide receptor </w:t>
            </w:r>
            <w:proofErr w:type="gram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CD14,</w:t>
            </w:r>
            <w:proofErr w:type="gram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and the Fc receptors CD16 and CD64 on </w:t>
            </w:r>
            <w:proofErr w:type="spellStart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polymorphonuclear</w:t>
            </w:r>
            <w:proofErr w:type="spellEnd"/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neutrophils: data from patients with severe bacterial infections and lipopolysaccharide-exposed cells. Shock. 2003, Vol. 19, pp. 5-12.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F00" w:rsidRPr="00051E6C" w:rsidRDefault="00670F00" w:rsidP="00051E6C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1E6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DOI: 10.1046/j.1365-2249.2002.02008.x</w:t>
            </w:r>
          </w:p>
        </w:tc>
      </w:tr>
    </w:tbl>
    <w:p w:rsidR="00E40BFD" w:rsidRPr="00511AAF" w:rsidRDefault="00E40BFD" w:rsidP="00BD1CB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40BFD" w:rsidRPr="00511AAF" w:rsidSect="00BD1CBA">
      <w:pgSz w:w="16838" w:h="11906" w:orient="landscape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BA"/>
    <w:rsid w:val="00051E6C"/>
    <w:rsid w:val="001F6E4B"/>
    <w:rsid w:val="002461E0"/>
    <w:rsid w:val="00353444"/>
    <w:rsid w:val="00403870"/>
    <w:rsid w:val="00436CB5"/>
    <w:rsid w:val="00511AAF"/>
    <w:rsid w:val="00524E3D"/>
    <w:rsid w:val="005F187E"/>
    <w:rsid w:val="005F2C9F"/>
    <w:rsid w:val="00670F00"/>
    <w:rsid w:val="00721DB0"/>
    <w:rsid w:val="007A4FC7"/>
    <w:rsid w:val="007C44F2"/>
    <w:rsid w:val="00894124"/>
    <w:rsid w:val="00946D4A"/>
    <w:rsid w:val="00964D0E"/>
    <w:rsid w:val="00A23AD7"/>
    <w:rsid w:val="00A23D96"/>
    <w:rsid w:val="00A507ED"/>
    <w:rsid w:val="00B165D8"/>
    <w:rsid w:val="00BD1CBA"/>
    <w:rsid w:val="00C11455"/>
    <w:rsid w:val="00C52C9C"/>
    <w:rsid w:val="00C67624"/>
    <w:rsid w:val="00DB0BBD"/>
    <w:rsid w:val="00E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D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D1C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46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D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D1C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46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x.doi.org/10.1038%2Fnri2918" TargetMode="External"/><Relationship Id="rId5" Type="http://schemas.openxmlformats.org/officeDocument/2006/relationships/hyperlink" Target="https://dx.doi.org/10.1007%2Fs13238-018-0548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cnil</dc:creator>
  <cp:keywords/>
  <dc:description/>
  <cp:lastModifiedBy>ЦНИЛ</cp:lastModifiedBy>
  <cp:revision>11</cp:revision>
  <dcterms:created xsi:type="dcterms:W3CDTF">2019-03-01T10:59:00Z</dcterms:created>
  <dcterms:modified xsi:type="dcterms:W3CDTF">2019-03-06T12:47:00Z</dcterms:modified>
</cp:coreProperties>
</file>