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68F" w:rsidRPr="00CA0BD6" w:rsidRDefault="0017068F" w:rsidP="0017068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0BD6">
        <w:rPr>
          <w:rFonts w:ascii="Times New Roman" w:hAnsi="Times New Roman" w:cs="Times New Roman"/>
          <w:sz w:val="28"/>
          <w:szCs w:val="28"/>
        </w:rPr>
        <w:t xml:space="preserve">Рисунок 1. </w:t>
      </w:r>
      <w:r w:rsidRPr="00CA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Частота встречаемости отклонений содержания специфических </w:t>
      </w:r>
      <w:r w:rsidRPr="00CA0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аутоантител ниже и выше референтных уровней (слева и справа соответственно) </w:t>
      </w:r>
    </w:p>
    <w:p w:rsidR="0017068F" w:rsidRPr="00CA0BD6" w:rsidRDefault="0017068F" w:rsidP="001706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BD6">
        <w:rPr>
          <w:rFonts w:ascii="Times New Roman" w:hAnsi="Times New Roman" w:cs="Times New Roman"/>
          <w:sz w:val="28"/>
          <w:szCs w:val="28"/>
          <w:lang w:val="en-US"/>
        </w:rPr>
        <w:t>Figure 1. The frequency of occurrence of abnormalities in the content of specific autoantibodies below and above the reference levels (left and right, respectively)</w:t>
      </w:r>
    </w:p>
    <w:p w:rsidR="009D59A4" w:rsidRPr="0017068F" w:rsidRDefault="0017068F">
      <w:pPr>
        <w:rPr>
          <w:lang w:val="en-US"/>
        </w:rPr>
      </w:pPr>
      <w:bookmarkStart w:id="0" w:name="_GoBack"/>
      <w:bookmarkEnd w:id="0"/>
    </w:p>
    <w:sectPr w:rsidR="009D59A4" w:rsidRPr="00170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BE"/>
    <w:rsid w:val="0017068F"/>
    <w:rsid w:val="00175ABE"/>
    <w:rsid w:val="00802EAF"/>
    <w:rsid w:val="00B3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FBF18-553A-439A-B724-79F3DBC3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Luda</cp:lastModifiedBy>
  <cp:revision>2</cp:revision>
  <dcterms:created xsi:type="dcterms:W3CDTF">2019-03-05T04:05:00Z</dcterms:created>
  <dcterms:modified xsi:type="dcterms:W3CDTF">2019-03-05T04:05:00Z</dcterms:modified>
</cp:coreProperties>
</file>