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61" w:type="dxa"/>
        <w:tblInd w:w="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73"/>
        <w:gridCol w:w="5480"/>
        <w:gridCol w:w="4955"/>
        <w:gridCol w:w="2753"/>
      </w:tblGrid>
      <w:tr w:rsidR="006D4F92" w:rsidRPr="00950881" w:rsidTr="00B30DB5">
        <w:trPr>
          <w:trHeight w:val="111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92" w:rsidRPr="00950881" w:rsidRDefault="006D4F92" w:rsidP="00F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ссылки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92" w:rsidRPr="00950881" w:rsidRDefault="006D4F92" w:rsidP="00F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92" w:rsidRPr="00950881" w:rsidRDefault="006D4F92" w:rsidP="00F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ФИО, название публикации и источника на английском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4F92" w:rsidRPr="00950881" w:rsidRDefault="006D4F92" w:rsidP="00FC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doi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E788B" w:rsidRPr="003B6BCD" w:rsidTr="00B30DB5">
        <w:trPr>
          <w:trHeight w:val="111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88B" w:rsidRPr="006120A5" w:rsidRDefault="006120A5" w:rsidP="00FC3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0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88B" w:rsidRPr="000E788B" w:rsidRDefault="000E788B" w:rsidP="000E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Бодиенкова</w:t>
            </w:r>
            <w:proofErr w:type="spellEnd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Курчевенко</w:t>
            </w:r>
            <w:proofErr w:type="spellEnd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 С.И. Оценка медиаторов воспаления при воздействии вибрации на рабочих в зависимости от выраженности патологического процесса // Гигиена и санитария. – 2017. – Т. 96, № 5. – С. 460-462.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88B" w:rsidRPr="003B6BCD" w:rsidRDefault="003B6BCD" w:rsidP="003B6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Bodienkova</w:t>
            </w:r>
            <w:proofErr w:type="spellEnd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G.M., </w:t>
            </w:r>
            <w:proofErr w:type="spellStart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Kurchevenko</w:t>
            </w:r>
            <w:proofErr w:type="spellEnd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S.I.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Assessment of inflammation mediators </w:t>
            </w:r>
            <w:proofErr w:type="gramStart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under exposure to the vibration in employees in dependence on pronouncement of the pathological process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3B6BC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 xml:space="preserve">Hygiene and sanitation, </w:t>
            </w:r>
            <w:r w:rsidRPr="003B6BC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2017. Vol. 96, no. 5. pp. 460-462.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88B" w:rsidRPr="00E5487A" w:rsidRDefault="000E788B" w:rsidP="00FC3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3B6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10.18821/0016-9900-2017-96-5-460-462</w:t>
            </w:r>
            <w:r w:rsid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</w:tr>
      <w:tr w:rsidR="006120A5" w:rsidRPr="000E788B" w:rsidTr="00B30DB5">
        <w:trPr>
          <w:trHeight w:val="1645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0A5" w:rsidRPr="000E788B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Бодиенкова</w:t>
            </w:r>
            <w:proofErr w:type="spellEnd"/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Курчевенко</w:t>
            </w:r>
            <w:proofErr w:type="spellEnd"/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вибрации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 к регуляторным белкам нервной ткани // Физиология человека. – 2016. – Т. 42, № 5. – С. 97-101. 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0A5" w:rsidRPr="004B2878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Bodienkova</w:t>
            </w:r>
            <w:proofErr w:type="spellEnd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G.M., </w:t>
            </w:r>
            <w:proofErr w:type="spellStart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Kurchevenko</w:t>
            </w:r>
            <w:proofErr w:type="spellEnd"/>
            <w:r w:rsidRPr="003B6B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S.I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3044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Influence of industrial vibration on the level of antibodies against regulatory proteins of the nervous tissue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3044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Human Physiology, 2016, Vol. 42, no 5, pp. 550-553.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20A5" w:rsidRDefault="00B30DB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6120A5" w:rsidRPr="000A256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https://elibrary.ru/download/elibrary_26665237_46312234.pdf</w:t>
              </w:r>
            </w:hyperlink>
          </w:p>
          <w:p w:rsidR="006120A5" w:rsidRPr="000E788B" w:rsidRDefault="006120A5" w:rsidP="00EB7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DOI: 10.7868/S0131164616050039]</w:t>
            </w:r>
          </w:p>
        </w:tc>
      </w:tr>
      <w:tr w:rsidR="006120A5" w:rsidRPr="00B30DB5" w:rsidTr="00B30DB5">
        <w:trPr>
          <w:trHeight w:val="1485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0E788B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Гупало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Миронова Н.А., Малкина Т.А., Полевая Т.Ю., Голицын С.П. Роль воспаления в развитии нарушений ритма и проводимости</w:t>
            </w:r>
            <w:r w:rsidRPr="004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Сибирский медицинский журнал (г. Томск).</w:t>
            </w:r>
            <w:r w:rsidRPr="004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2015</w:t>
            </w:r>
            <w:r w:rsidRPr="004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Gupalo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Mironova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Malkina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Polevaya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Golitsyn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role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inflammation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heart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rhythm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conduction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disturbances. 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Siberian Medical Journal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Vol. 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no. 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 pp.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  <w:r w:rsidRPr="00582C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https://elibrary.ru/download/elibrary_23598750_11710793.pdf</w:t>
            </w:r>
          </w:p>
        </w:tc>
      </w:tr>
      <w:tr w:rsidR="006120A5" w:rsidRPr="00B30DB5" w:rsidTr="00B30DB5">
        <w:trPr>
          <w:trHeight w:val="1395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0E788B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01445B" w:rsidRDefault="006120A5" w:rsidP="00014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Кологривова И.В., Суслова Т.Е., Винницкая И.В., </w:t>
            </w:r>
            <w:proofErr w:type="spellStart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Кошельская</w:t>
            </w:r>
            <w:proofErr w:type="spellEnd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Бощенко</w:t>
            </w:r>
            <w:proofErr w:type="spellEnd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 А.А., Трубачева О.А. </w:t>
            </w:r>
            <w:proofErr w:type="spellStart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Иммунорегуляторный</w:t>
            </w:r>
            <w:proofErr w:type="spellEnd"/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 дисбаланс и структурно- функциональное состояние сердца у пациентов с сахарным диабетом 2 типа // Медицинская иммунология. – 2018. – Т. 20, №6. – С. 833-846.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01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Kologrivova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V., </w:t>
            </w: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Suslova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T.E., </w:t>
            </w: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Vinnitskaya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I.V., </w:t>
            </w: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Koshelskaya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O.A., </w:t>
            </w: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Boshchenko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A.A., </w:t>
            </w: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Trubacheva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O.A.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Immunoregulatory</w:t>
            </w:r>
            <w:proofErr w:type="spellEnd"/>
            <w:r w:rsidRPr="003044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imbalance and functional state of the heart in the patients with diabetes mellitus type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3044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Medical Immunology (Russia), 2018, Vol. 20, no.6, pp. 833-846.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B30DB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6120A5" w:rsidRPr="000E78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https://www.mimmun.ru/mimmun/article/view/1668/1081</w:t>
              </w:r>
            </w:hyperlink>
          </w:p>
        </w:tc>
      </w:tr>
      <w:tr w:rsidR="006120A5" w:rsidRPr="005011EA" w:rsidTr="00B30DB5">
        <w:trPr>
          <w:trHeight w:val="1615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Костюкевич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М.В., Зыков К.А., Миронова Н.А., Агапова О.Ю., Шевелев А.Я., Ефремов Е.Е.,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Власик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Голицын С.П. Роль аутоантител к ß1–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адренорецептору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сердечно–сосудистых заболеваниях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Кардиология.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2016. – №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5011EA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Kostyukevich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Zykov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Mironova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Agapova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Shevelev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Efremov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Vlasik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Golitsyn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Role</w:t>
            </w:r>
            <w:r w:rsidRPr="003C65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of</w:t>
            </w:r>
            <w:r w:rsidRPr="003C651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Autoantibodies Against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>ßj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  <w:t xml:space="preserve">–Adrenergic Receptor in Cardiovascular Disease. </w:t>
            </w:r>
            <w:r w:rsidRPr="005011E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С</w:t>
            </w:r>
            <w:proofErr w:type="spellStart"/>
            <w:r w:rsidRPr="005011E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 w:eastAsia="ru-RU"/>
              </w:rPr>
              <w:t>ardiology</w:t>
            </w:r>
            <w:proofErr w:type="spellEnd"/>
            <w:r w:rsidRPr="005011E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2016,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no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 pp.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82-91.</w:t>
            </w:r>
            <w:r w:rsidRPr="00501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5011EA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0A5" w:rsidRPr="00950881" w:rsidTr="00B30DB5">
        <w:trPr>
          <w:trHeight w:val="1682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5011EA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О.М., Митрофанова Л.Б.,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Накацева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Е.В., Зверев Д.А.,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Скурыдин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С.В., Полетаев А.Б. Сравнительный анализ содержания аутоантител в сыворотке крови как инструмент диагностики воспалительных заболеваний миокарда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Терапевтический архив.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2012. –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84, №9. – С.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DD5F99" w:rsidRDefault="006120A5" w:rsidP="006120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Moiseeva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Mitrofanova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Nakatseva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Zverev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Skurydin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Comparative</w:t>
            </w:r>
            <w:r w:rsidRPr="003C651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analysis</w:t>
            </w:r>
            <w:r w:rsidRPr="003C651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of</w:t>
            </w:r>
            <w:r w:rsidRPr="003C651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the</w:t>
            </w:r>
            <w:r w:rsidRPr="003C651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serum</w:t>
            </w:r>
            <w:r w:rsidRPr="003C6515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level of autoantibodies as a diagnostic tool of myocardial inflammatory diseases.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Therapeutic archive,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Vol. 84, no. 9, pp.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47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766123" w:rsidTr="00B30DB5">
        <w:trPr>
          <w:trHeight w:val="171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5011EA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Кудаева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Маснавиева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Дьякович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Молекулярно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генетические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эндотелиальной дисфункци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 лиц, экспонированных ртутью //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 труда и промышленная экология.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№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С.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Naumova</w:t>
            </w:r>
            <w:proofErr w:type="spellEnd"/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Kudaeva</w:t>
            </w:r>
            <w:proofErr w:type="spellEnd"/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Masnavieva</w:t>
            </w:r>
            <w:proofErr w:type="spellEnd"/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yakovich</w:t>
            </w:r>
            <w:proofErr w:type="spellEnd"/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Belik</w:t>
            </w:r>
            <w:proofErr w:type="spellEnd"/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aspects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endothelial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dysfunction</w:t>
            </w:r>
            <w:r w:rsidRPr="005011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individuals exposed to mercury</w:t>
            </w:r>
            <w:r w:rsidRPr="007661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Occupational Health and Industrial Ecology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no.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pp.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950881" w:rsidTr="00B30DB5">
        <w:trPr>
          <w:trHeight w:val="933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Полетаев А.Б. Физиологическая иммунология – естественные </w:t>
            </w:r>
            <w:proofErr w:type="spellStart"/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аутоантитела</w:t>
            </w:r>
            <w:proofErr w:type="spellEnd"/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проблемы </w:t>
            </w:r>
            <w:proofErr w:type="spellStart"/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наномедицины</w:t>
            </w:r>
            <w:proofErr w:type="spellEnd"/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М.: </w:t>
            </w:r>
            <w:proofErr w:type="spellStart"/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Миклош</w:t>
            </w:r>
            <w:proofErr w:type="spellEnd"/>
            <w:r w:rsidRPr="00950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2011. – 220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562454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 </w:t>
            </w:r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Physiological immunology – natural autoantibodies and problems of </w:t>
            </w:r>
            <w:proofErr w:type="spellStart"/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nanomedicine</w:t>
            </w:r>
            <w:proofErr w:type="spellEnd"/>
            <w:r w:rsidRPr="0095088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011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Moskow</w:t>
            </w:r>
            <w:proofErr w:type="spellEnd"/>
            <w:r w:rsidRPr="005011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5011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Miklosh</w:t>
            </w:r>
            <w:proofErr w:type="spellEnd"/>
            <w:r w:rsidRPr="005011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, 2011.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-</w:t>
            </w:r>
            <w:r w:rsidRPr="005011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220 p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B30DB5" w:rsidTr="00B30DB5">
        <w:trPr>
          <w:trHeight w:val="972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3B6BCD" w:rsidRDefault="006120A5" w:rsidP="00B30DB5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E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Порядин</w:t>
            </w:r>
            <w:proofErr w:type="spellEnd"/>
            <w:r w:rsidRPr="000E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Г.В., Осколок Л.Н. Патофизиологические аспекты метаболического синдрома // Лечебное дело. – 2011. – №4. </w:t>
            </w:r>
            <w:r w:rsidRPr="003B6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3B6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1-10.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3B6BCD" w:rsidRDefault="006120A5" w:rsidP="00B30DB5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Poryadin</w:t>
            </w:r>
            <w:proofErr w:type="spellEnd"/>
            <w:r w:rsidRPr="003B6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G.V., </w:t>
            </w:r>
            <w:proofErr w:type="spellStart"/>
            <w:r w:rsidRPr="003B6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Oskolok</w:t>
            </w:r>
            <w:proofErr w:type="spellEnd"/>
            <w:r w:rsidRPr="003B6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L.N.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B6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Pathophysiology of Metabolic Syndrome</w:t>
            </w:r>
            <w:r w:rsidRPr="003B6BCD">
              <w:rPr>
                <w:lang w:val="en-US"/>
              </w:rPr>
              <w:t xml:space="preserve"> </w:t>
            </w:r>
            <w:r w:rsidRPr="003B6BC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Medical case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Lechebnoe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delo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3B6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no. 4, pp.</w:t>
            </w:r>
            <w:r w:rsidRPr="003B6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1-10.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3B6BCD" w:rsidRDefault="006120A5" w:rsidP="00B30DB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B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https://elibrary.ru/download/elibrary_17527453_42776009.pdf</w:t>
            </w:r>
          </w:p>
        </w:tc>
      </w:tr>
      <w:tr w:rsidR="006120A5" w:rsidRPr="00B30DB5" w:rsidTr="00B30DB5">
        <w:trPr>
          <w:trHeight w:val="972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0E788B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Рогова М.М., Миронова Н.А., Родионова Е.С., Малкина Т.А., Зыков К.А., Беспалова Ж.Д., </w:t>
            </w:r>
            <w:proofErr w:type="spellStart"/>
            <w:r w:rsidRPr="000E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Бибилашвили</w:t>
            </w:r>
            <w:proofErr w:type="spellEnd"/>
            <w:r w:rsidRPr="000E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Р.Ш., Ефремов Е.Е., Голицын С.П. Титры антител к р1-адренорецепторам и М2-</w:t>
            </w:r>
            <w:r w:rsidRPr="000E78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холинорецепторам у больных с желудочковыми нарушениями ритма сердца без признаков органического заболевания сердечно-сосудистой системы и их возможное клиническое значение // </w:t>
            </w:r>
            <w:r w:rsidRPr="00C25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Рациональная фармакотерапия в кардиологии. – 2012. – Т. 8, № 5. – С. 647-654.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C258FB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Rogova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M.M.,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Mironova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N.A.,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Rodionova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E.S.,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Malkina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T.A.,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Zykov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K.A.,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Bespalova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Zh.D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Bibilashvili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R.Sh.1,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Efremov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E.E.1, </w:t>
            </w:r>
            <w:proofErr w:type="spellStart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Golitsyn</w:t>
            </w:r>
            <w:proofErr w:type="spellEnd"/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Titers of antibodies to 31-adrenoceptor and M2 </w:t>
            </w:r>
            <w:r w:rsidRPr="00C25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cholinergic receptors in patients with ventricular arrhythmias without an organic cardiovascular disease and their possible clinical significance</w:t>
            </w:r>
          </w:p>
          <w:p w:rsidR="006120A5" w:rsidRPr="00C258FB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5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Rational Pharmacotherapy in Cardiology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C25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Vol</w:t>
            </w:r>
            <w:r w:rsidRPr="00C25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8,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</w:t>
            </w:r>
            <w:r w:rsidRPr="00C25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pp.</w:t>
            </w:r>
            <w:r w:rsidRPr="00C258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647-654.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C258FB" w:rsidRDefault="006120A5" w:rsidP="006120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258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https://elibrary.ru/download/elibrary_18270568_66428201.pdf</w:t>
            </w:r>
          </w:p>
        </w:tc>
      </w:tr>
      <w:tr w:rsidR="006120A5" w:rsidRPr="00B30DB5" w:rsidTr="00B30DB5">
        <w:trPr>
          <w:trHeight w:val="570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Н.В.,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Басина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Е.И., Щукин В.Ю. Естественные (физиологические)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ауто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антитела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регуляция гомеостаза //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Известия Самарского научного центра РАН.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17, №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5–3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С.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Spiridonova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Basina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Shchukin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physiological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autoantibodies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homeostasis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Izvestia</w:t>
            </w:r>
            <w:proofErr w:type="spellEnd"/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of Samara Scientific Center of the Russian Academy of Sciences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Vol. 17, no.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5–3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pp. 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861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867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B30DB5" w:rsidTr="00B30DB5">
        <w:trPr>
          <w:trHeight w:val="336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Шпагина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Герасименко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Дробышев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Эндотелиально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гемостазиологические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предикторы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сердечно</w:t>
            </w:r>
            <w:r w:rsidRPr="003C651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сосудистого риска у больных вибрационной болезнью в сочетании с артериальной гипертензией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медицинский вестник.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№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С.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Shpagina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Drobyshev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Kuznetsova</w:t>
            </w:r>
            <w:proofErr w:type="spellEnd"/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Endothelial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hemostatic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predictors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cardiovascular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risk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3C65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patients with vibration disease in combination with the arterial hypertension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5011E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Siberian Medical bulletin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5011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 no. 1, pp.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  <w:r w:rsidRPr="005011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https://elibrary.ru/download/elibrary_30035758_40006081.pdf</w:t>
            </w:r>
          </w:p>
        </w:tc>
      </w:tr>
      <w:tr w:rsidR="006120A5" w:rsidRPr="006120A5" w:rsidTr="00B30DB5">
        <w:trPr>
          <w:trHeight w:val="834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B30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B">
              <w:rPr>
                <w:rFonts w:ascii="Times New Roman" w:hAnsi="Times New Roman" w:cs="Times New Roman"/>
                <w:sz w:val="24"/>
                <w:szCs w:val="24"/>
              </w:rPr>
              <w:t xml:space="preserve">Шпагина Л.А., Третьяков С.В., Войтович Т.В. Функциональное состояние системы кровообращения в динамике лечения артериальной гипертонии у больных вибрационной болезнью // Терапевтический архив. – 2003.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87C47">
              <w:rPr>
                <w:rFonts w:ascii="Times New Roman" w:hAnsi="Times New Roman" w:cs="Times New Roman"/>
                <w:sz w:val="24"/>
                <w:szCs w:val="24"/>
              </w:rPr>
              <w:t xml:space="preserve">. 75, </w:t>
            </w:r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№2. – С.58</w:t>
            </w:r>
            <w:r w:rsidR="00B30D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88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A87C47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Shpagina</w:t>
            </w:r>
            <w:proofErr w:type="spellEnd"/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Tretyakov</w:t>
            </w:r>
            <w:proofErr w:type="spellEnd"/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S.V., </w:t>
            </w:r>
            <w:proofErr w:type="spellStart"/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Voitovich</w:t>
            </w:r>
            <w:proofErr w:type="spellEnd"/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T.V</w:t>
            </w:r>
            <w:r w:rsidRPr="00A87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A87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Function of circulation system in the course of arterial hypertension treatment in patients with vibration disease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3044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Therapeutic</w:t>
            </w:r>
            <w:r w:rsidRPr="00A87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044B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archive</w:t>
            </w:r>
            <w:r w:rsidRPr="00A87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2003,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Vol. 75, no</w:t>
            </w:r>
            <w:r w:rsidRPr="00A87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2,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pp</w:t>
            </w:r>
            <w:r w:rsidRPr="00A87C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 58-61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6120A5" w:rsidTr="00B30DB5">
        <w:trPr>
          <w:trHeight w:val="1787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Ямщикова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Флейшман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Гидаятова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М.О.,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Неретин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Кунгурова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 Особенности вегетативной регуляции у больных вибрационной болезнью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активной ортостатической пробы //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Медицина труда и промышленная экология.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№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142203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Yamshchikova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Fleishman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Gidayatova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Neretin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Kungurova</w:t>
            </w:r>
            <w:proofErr w:type="spellEnd"/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Features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vegetative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regulation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vibration</w:t>
            </w:r>
            <w:r w:rsidRPr="003C65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disease patients, studied on basis of active orthostatic test. </w:t>
            </w:r>
            <w:r w:rsidRPr="0014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Occupational health and industrial ecology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</w:t>
            </w:r>
            <w:r w:rsidRPr="0014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.</w:t>
            </w:r>
            <w:proofErr w:type="gramEnd"/>
            <w:r w:rsidRPr="0014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no. </w:t>
            </w:r>
            <w:r w:rsidRPr="0014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, pp.</w:t>
            </w:r>
            <w:r w:rsidRPr="0014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-</w:t>
            </w:r>
            <w:r w:rsidRPr="001422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142203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142203" w:rsidTr="00B30DB5">
        <w:trPr>
          <w:trHeight w:val="1423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6120A5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Caforio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A.L.P.,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Tona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Bottaro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S., Vinci A.,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Dequal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Daliento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Thiene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G., </w:t>
            </w:r>
            <w:proofErr w:type="spellStart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Iliceto</w:t>
            </w:r>
            <w:proofErr w:type="spellEnd"/>
            <w:r w:rsidRPr="000E78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 Clinical implications of anti-heart autoantibodies in myocarditis and dilated cardiomyopathy. </w:t>
            </w:r>
            <w:proofErr w:type="spellStart"/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Autoimmunniti</w:t>
            </w:r>
            <w:proofErr w:type="spellEnd"/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2008, Vol. 41, pp. 35–45. </w:t>
            </w:r>
            <w:proofErr w:type="spellStart"/>
            <w:proofErr w:type="gramStart"/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proofErr w:type="spellEnd"/>
            <w:proofErr w:type="gramEnd"/>
            <w:r w:rsidRPr="006120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10.1080/08916930701619235.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142203" w:rsidRDefault="001F301C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1F3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10.1080/08916930701619235]</w:t>
            </w:r>
          </w:p>
        </w:tc>
      </w:tr>
      <w:tr w:rsidR="006120A5" w:rsidRPr="00142203" w:rsidTr="00B30DB5">
        <w:trPr>
          <w:trHeight w:val="1474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Chiale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P.A.,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Garro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H.A.,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Schmidberg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J., Sánchez R.A.,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Acunzo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R.S.,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Lago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M., Levy G., Levin M. Inappropriate sinus tachycardia may be related to an immunologic disorder involving cardiac beta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andrenergic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receptors. Heart Rhythm, 2006, Vol. 3, no.10, pp. 1182-1186.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0C04B2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10.1016/j.hrthm.2006.06.011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6120A5" w:rsidRPr="001F301C" w:rsidTr="00B30DB5">
        <w:trPr>
          <w:trHeight w:val="1219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E5487A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Du Y., Yan L., Wang J., Zhan W., Song K., Han X, Li X, Cao J, Liu H.. </w:t>
            </w:r>
            <w:proofErr w:type="gram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β1-adrenoceptor</w:t>
            </w:r>
            <w:proofErr w:type="gram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autoantibodies from DCM patients enhance the proliferation of T lymphocytes through the β1-AR/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cAMP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/PKA and p38 MAPK pathways.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PLoS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One., 2012, Vol. 7, no.12, pp. 52911.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0C04B2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01C" w:rsidRDefault="00B30DB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="001F301C" w:rsidRPr="00915AC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https://www.ncbi.nlm.nih.gov/pmc/articles/PMC3534136/</w:t>
              </w:r>
            </w:hyperlink>
          </w:p>
          <w:p w:rsidR="006120A5" w:rsidRPr="00E5487A" w:rsidRDefault="001F301C" w:rsidP="001F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10.1371/journal.pone.0052911]</w:t>
            </w:r>
          </w:p>
        </w:tc>
      </w:tr>
      <w:tr w:rsidR="006120A5" w:rsidRPr="00E5487A" w:rsidTr="00B30DB5">
        <w:trPr>
          <w:trHeight w:val="1219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E5487A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Hirata M.,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Sakakibara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H. Visually-evoked P300 and NOGO potentials as indicators of central nervous system function in patients with vibration syndrome. International Archives of Occupational and Environmental Health, 2008</w:t>
            </w:r>
            <w:proofErr w:type="gram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,Vol</w:t>
            </w:r>
            <w:proofErr w:type="gram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82, no 1, pp. 79-85.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E5487A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10.1016/j.autrev.200</w:t>
            </w:r>
            <w:r w:rsidR="001F3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8.12.003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6120A5" w:rsidRPr="00950881" w:rsidTr="00B30DB5">
        <w:trPr>
          <w:trHeight w:val="1094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F9764B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Ippoliti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Canitano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Businaro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 Stress and obesity as risk factors in cardiovascular diseases: a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neuroimmune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perspective. J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Neuroimmune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</w:t>
            </w:r>
            <w:proofErr w:type="spellEnd"/>
            <w:r w:rsidRPr="000C0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Pr="000C0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Vol.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no.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pp.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0C04B2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0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[DOI: 10.1007/s11481–012–9432–6]</w:t>
            </w:r>
          </w:p>
        </w:tc>
      </w:tr>
      <w:tr w:rsidR="006120A5" w:rsidRPr="001F301C" w:rsidTr="00B30DB5">
        <w:trPr>
          <w:trHeight w:val="48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E5487A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Iwata M., Yoshikawa T., Baba A., </w:t>
            </w:r>
            <w:proofErr w:type="spellStart"/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Anzai</w:t>
            </w:r>
            <w:proofErr w:type="spellEnd"/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T., </w:t>
            </w:r>
            <w:proofErr w:type="spellStart"/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Mitamura</w:t>
            </w:r>
            <w:proofErr w:type="spellEnd"/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Ogawa S. Autoantibodies against the second extracellular loop of the beta1-adrenergic receptors predict ventricular tachycardia and sudden death in </w:t>
            </w:r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patient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with dilated cardiomyopathy.</w:t>
            </w:r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Am. Coll. </w:t>
            </w:r>
            <w:proofErr w:type="spellStart"/>
            <w:r w:rsidRPr="00E548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Cardio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2001, Vol. 37, pp. 418–424.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Default="00B30DB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="001F301C" w:rsidRPr="00915AC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https://www.sciencedirect.com/science/article/pii/S0735109700011098?via%3Dihub</w:t>
              </w:r>
            </w:hyperlink>
          </w:p>
          <w:p w:rsidR="001F301C" w:rsidRDefault="00B30DB5" w:rsidP="001F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9" w:history="1">
              <w:r w:rsidR="001F301C" w:rsidRPr="00915AC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https://doi.org/10.1016/S0735-1097(00)01109-8</w:t>
              </w:r>
            </w:hyperlink>
            <w:r w:rsidR="001F3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6120A5" w:rsidRPr="000E788B" w:rsidTr="00B30DB5">
        <w:trPr>
          <w:trHeight w:val="84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Liu H.R., Zhao R.R.,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Zhi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J.M., Wu B.W., Fu M.L. Screening of serum autoantibodies to cardiac beta1–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adrenoceptors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M2–muscarinic acetylcholine receptors in 408 healthy subjects of varying ages. Autoimmunity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Vol.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no.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pp.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0C04B2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C04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Default="006120A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120A5" w:rsidRPr="000E788B" w:rsidTr="00B30DB5">
        <w:trPr>
          <w:trHeight w:val="84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Milicevic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Udiljak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N., </w:t>
            </w:r>
            <w:proofErr w:type="spellStart"/>
            <w:proofErr w:type="gram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Milicevic</w:t>
            </w:r>
            <w:proofErr w:type="spellEnd"/>
            <w:proofErr w:type="gram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T. Changes in vagal reactivity to the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sympathicotonia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during the progression of heart failure: from self-suppression to counteraction. Med Hypotheses, 2013, Vol. 81, no. 2, pp. 264-267.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0C04B2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Default="006120A5" w:rsidP="001F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10.1016/j.mehy.2013.04.033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6120A5" w:rsidRPr="000E788B" w:rsidTr="00B30DB5">
        <w:trPr>
          <w:trHeight w:val="84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Poletaev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A.B.,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Churilov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L.P.,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Stroev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Y.I.,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Agapov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M.M. </w:t>
            </w:r>
            <w:proofErr w:type="spellStart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Immunophysiology</w:t>
            </w:r>
            <w:proofErr w:type="spellEnd"/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versus immunopathology: natural autoimmunity in human health and disease. Pathophysiology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no. 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pp.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231.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950881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1F301C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="006120A5"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10.1016/j.pathophys.2012.07. 003]</w:t>
            </w:r>
          </w:p>
        </w:tc>
      </w:tr>
      <w:tr w:rsidR="006120A5" w:rsidRPr="000E788B" w:rsidTr="00B30DB5">
        <w:trPr>
          <w:trHeight w:val="84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E5487A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Stavrakis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Kem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D.C., Patterson E., Lozano P., Huang S.,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Szabo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B., Cunningham M.W.,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Lazzara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R., Yu X. Opposing cardiac effects of autoantibody activation of beta-adrenergic and M2 muscarinic receptors in cardiac-related diseases.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 </w:t>
            </w:r>
            <w:proofErr w:type="spellStart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Cardiol</w:t>
            </w:r>
            <w:proofErr w:type="spellEnd"/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2011, Vol. 148, no. 3, pp. 331-336.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Default="00B30DB5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0" w:history="1">
              <w:r w:rsidR="006120A5" w:rsidRPr="000A256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https://www.ncbi.nlm.nih.gov/pmc/articles/PMC3108570/</w:t>
              </w:r>
            </w:hyperlink>
          </w:p>
          <w:p w:rsidR="006120A5" w:rsidRDefault="006120A5" w:rsidP="001F3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10.1016/j.ijc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ard.2009.11.025]</w:t>
            </w:r>
          </w:p>
        </w:tc>
      </w:tr>
      <w:tr w:rsidR="006120A5" w:rsidRPr="000E788B" w:rsidTr="00B30DB5">
        <w:trPr>
          <w:trHeight w:val="841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F9764B" w:rsidRDefault="006120A5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97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A87C47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8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Steinberg S.F. Beta1-Adrenergic Receptor Regulation Revisited. </w:t>
            </w:r>
            <w:proofErr w:type="spellStart"/>
            <w:r w:rsidRPr="00A8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Circ</w:t>
            </w:r>
            <w:proofErr w:type="spellEnd"/>
            <w:r w:rsidRPr="00A87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Res., 2018, Vol. 123, no. 11, pp. 1199-1201 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20A5" w:rsidRPr="00854A05" w:rsidRDefault="006120A5" w:rsidP="00612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20A5" w:rsidRPr="00950881" w:rsidRDefault="001F301C" w:rsidP="0061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[</w:t>
            </w:r>
            <w:r w:rsidRPr="001F3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DOI: 10.1161/CIRCRESAHA.118.313884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]</w:t>
            </w:r>
          </w:p>
        </w:tc>
      </w:tr>
      <w:tr w:rsidR="00D115F8" w:rsidRPr="00950881" w:rsidTr="00B30DB5">
        <w:trPr>
          <w:trHeight w:val="340"/>
        </w:trPr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5F8" w:rsidRPr="00F9764B" w:rsidRDefault="00F9764B" w:rsidP="00F9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5F8" w:rsidRPr="00E5487A" w:rsidRDefault="00D115F8" w:rsidP="00D11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Wulsin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L.R., Horn P.S., Perry J.L.,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Massaro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J.M.,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D'Agostino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R.B. Autonomic Imbalance as a Predictor of Metabolic Risks, Cardiovascular 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sease, Diabetes, and Mortality</w:t>
            </w:r>
            <w:r w:rsidRPr="007661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Clin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Endocrinol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Metab</w:t>
            </w:r>
            <w:proofErr w:type="spellEnd"/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Vol.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no. 6, pp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2443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2448</w:t>
            </w:r>
            <w:r w:rsidRPr="00E548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15F8" w:rsidRPr="00950881" w:rsidRDefault="00D115F8" w:rsidP="00D11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2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5F8" w:rsidRPr="00950881" w:rsidRDefault="00D115F8" w:rsidP="00D11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0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[DOI: 10.1210/jc.2015-1748]</w:t>
            </w:r>
          </w:p>
        </w:tc>
      </w:tr>
    </w:tbl>
    <w:p w:rsidR="000E788B" w:rsidRPr="00F9764B" w:rsidRDefault="000E788B" w:rsidP="00B30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0E788B" w:rsidRPr="00F9764B" w:rsidSect="006D4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5922"/>
    <w:multiLevelType w:val="hybridMultilevel"/>
    <w:tmpl w:val="5B809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39E1"/>
    <w:multiLevelType w:val="hybridMultilevel"/>
    <w:tmpl w:val="A53C8A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42E1D"/>
    <w:multiLevelType w:val="multilevel"/>
    <w:tmpl w:val="AF78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C8"/>
    <w:rsid w:val="0001445B"/>
    <w:rsid w:val="000C04B2"/>
    <w:rsid w:val="000E788B"/>
    <w:rsid w:val="00142203"/>
    <w:rsid w:val="00160AC8"/>
    <w:rsid w:val="001F301C"/>
    <w:rsid w:val="003044BE"/>
    <w:rsid w:val="003B6BCD"/>
    <w:rsid w:val="003C6515"/>
    <w:rsid w:val="00444566"/>
    <w:rsid w:val="00471F33"/>
    <w:rsid w:val="004B2878"/>
    <w:rsid w:val="005011EA"/>
    <w:rsid w:val="00562454"/>
    <w:rsid w:val="00582C29"/>
    <w:rsid w:val="005F756A"/>
    <w:rsid w:val="006120A5"/>
    <w:rsid w:val="0062137B"/>
    <w:rsid w:val="006D4F92"/>
    <w:rsid w:val="0071447D"/>
    <w:rsid w:val="00766123"/>
    <w:rsid w:val="00767F26"/>
    <w:rsid w:val="007F11DB"/>
    <w:rsid w:val="00802EAF"/>
    <w:rsid w:val="00854A05"/>
    <w:rsid w:val="0088062E"/>
    <w:rsid w:val="008F13EA"/>
    <w:rsid w:val="00950881"/>
    <w:rsid w:val="009628D4"/>
    <w:rsid w:val="00A87C47"/>
    <w:rsid w:val="00B30DB5"/>
    <w:rsid w:val="00B33449"/>
    <w:rsid w:val="00BA0D41"/>
    <w:rsid w:val="00C258FB"/>
    <w:rsid w:val="00CF396B"/>
    <w:rsid w:val="00D115F8"/>
    <w:rsid w:val="00D52667"/>
    <w:rsid w:val="00DD5F99"/>
    <w:rsid w:val="00E2261A"/>
    <w:rsid w:val="00E37E82"/>
    <w:rsid w:val="00E5487A"/>
    <w:rsid w:val="00E65D43"/>
    <w:rsid w:val="00EB7958"/>
    <w:rsid w:val="00F9764B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A8130-4D70-4B9C-B222-33BF8A65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47D"/>
    <w:pPr>
      <w:spacing w:after="200" w:line="276" w:lineRule="auto"/>
      <w:ind w:left="720"/>
      <w:contextualSpacing/>
    </w:pPr>
  </w:style>
  <w:style w:type="character" w:styleId="a4">
    <w:name w:val="Hyperlink"/>
    <w:unhideWhenUsed/>
    <w:rsid w:val="000E7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735109700011098?via%3Dih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353413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mmun.ru/mimmun/article/view/1668/10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download/elibrary_26665237_46312234.pdf" TargetMode="External"/><Relationship Id="rId10" Type="http://schemas.openxmlformats.org/officeDocument/2006/relationships/hyperlink" Target="https://www.ncbi.nlm.nih.gov/pmc/articles/PMC31085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S0735-1097(00)01109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Luda</cp:lastModifiedBy>
  <cp:revision>14</cp:revision>
  <dcterms:created xsi:type="dcterms:W3CDTF">2019-03-01T07:03:00Z</dcterms:created>
  <dcterms:modified xsi:type="dcterms:W3CDTF">2019-03-11T04:59:00Z</dcterms:modified>
</cp:coreProperties>
</file>