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49" w:rsidRPr="00207A2E" w:rsidRDefault="00784949" w:rsidP="00784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:rsidR="00784949" w:rsidRPr="00164A0C" w:rsidRDefault="00784949" w:rsidP="00784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A2E">
        <w:rPr>
          <w:rFonts w:ascii="Times New Roman" w:hAnsi="Times New Roman" w:cs="Times New Roman"/>
          <w:sz w:val="28"/>
          <w:szCs w:val="28"/>
        </w:rPr>
        <w:t>Зависимости уровней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07A2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), а также соотношения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от соотношения уровней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207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207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сыворотке крови здоровых женщин и больных РМЖ</w:t>
      </w:r>
    </w:p>
    <w:p w:rsidR="00784949" w:rsidRDefault="00784949" w:rsidP="00784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1</w:t>
      </w:r>
    </w:p>
    <w:p w:rsidR="00784949" w:rsidRDefault="00784949" w:rsidP="00784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Correlations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ratio with IgA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ratio</w:t>
      </w:r>
    </w:p>
    <w:p w:rsidR="00784949" w:rsidRDefault="00784949" w:rsidP="00784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4A0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blood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healthy women (HW) and breast cancer patients (BCP)</w:t>
      </w:r>
    </w:p>
    <w:p w:rsidR="00207A2E" w:rsidRDefault="00207A2E" w:rsidP="00207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7A2E" w:rsidRDefault="005D3EFD" w:rsidP="00207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BB09F7" wp14:editId="00F6B9E4">
            <wp:extent cx="4261899" cy="2194560"/>
            <wp:effectExtent l="0" t="0" r="2476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3EFD" w:rsidRDefault="005D3EFD" w:rsidP="00207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D3EFD" w:rsidRDefault="005D3EFD" w:rsidP="00207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C8328B" wp14:editId="27867A83">
            <wp:extent cx="4267200" cy="22764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26B7" w:rsidRDefault="008F26B7" w:rsidP="00207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A2E" w:rsidRPr="00207A2E" w:rsidRDefault="005D3EFD" w:rsidP="00207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0B428BE" wp14:editId="21836B87">
            <wp:extent cx="4286250" cy="242887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07A2E" w:rsidRPr="00207A2E" w:rsidSect="000D39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02" w:rsidRDefault="00425B02" w:rsidP="000D39CF">
      <w:pPr>
        <w:spacing w:after="0" w:line="240" w:lineRule="auto"/>
      </w:pPr>
      <w:r>
        <w:separator/>
      </w:r>
    </w:p>
  </w:endnote>
  <w:endnote w:type="continuationSeparator" w:id="0">
    <w:p w:rsidR="00425B02" w:rsidRDefault="00425B02" w:rsidP="000D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9B" w:rsidRDefault="00C61E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9B" w:rsidRDefault="00C61E9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9B" w:rsidRDefault="00C61E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02" w:rsidRDefault="00425B02" w:rsidP="000D39CF">
      <w:pPr>
        <w:spacing w:after="0" w:line="240" w:lineRule="auto"/>
      </w:pPr>
      <w:r>
        <w:separator/>
      </w:r>
    </w:p>
  </w:footnote>
  <w:footnote w:type="continuationSeparator" w:id="0">
    <w:p w:rsidR="00425B02" w:rsidRDefault="00425B02" w:rsidP="000D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9B" w:rsidRDefault="00C61E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CF" w:rsidRPr="00C61E9B" w:rsidRDefault="000D39CF" w:rsidP="00C61E9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9B" w:rsidRDefault="00C61E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E"/>
    <w:rsid w:val="000256AA"/>
    <w:rsid w:val="000B48D3"/>
    <w:rsid w:val="000D39CF"/>
    <w:rsid w:val="00164A0C"/>
    <w:rsid w:val="00207A2E"/>
    <w:rsid w:val="00246391"/>
    <w:rsid w:val="00276459"/>
    <w:rsid w:val="00290FE0"/>
    <w:rsid w:val="00323F38"/>
    <w:rsid w:val="00361139"/>
    <w:rsid w:val="00425B02"/>
    <w:rsid w:val="004870EC"/>
    <w:rsid w:val="005528C2"/>
    <w:rsid w:val="005D3EFD"/>
    <w:rsid w:val="006523A7"/>
    <w:rsid w:val="00677935"/>
    <w:rsid w:val="007204D3"/>
    <w:rsid w:val="00784949"/>
    <w:rsid w:val="007B3F32"/>
    <w:rsid w:val="007F764B"/>
    <w:rsid w:val="008F26B7"/>
    <w:rsid w:val="00925D41"/>
    <w:rsid w:val="00925F81"/>
    <w:rsid w:val="009944BF"/>
    <w:rsid w:val="009D5040"/>
    <w:rsid w:val="00C33E69"/>
    <w:rsid w:val="00C61E9B"/>
    <w:rsid w:val="00C7532C"/>
    <w:rsid w:val="00CC2716"/>
    <w:rsid w:val="00D2442D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CF"/>
  </w:style>
  <w:style w:type="paragraph" w:styleId="a7">
    <w:name w:val="footer"/>
    <w:basedOn w:val="a"/>
    <w:link w:val="a8"/>
    <w:uiPriority w:val="99"/>
    <w:unhideWhenUsed/>
    <w:rsid w:val="000D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CF"/>
  </w:style>
  <w:style w:type="paragraph" w:styleId="a7">
    <w:name w:val="footer"/>
    <w:basedOn w:val="a"/>
    <w:link w:val="a8"/>
    <w:uiPriority w:val="99"/>
    <w:unhideWhenUsed/>
    <w:rsid w:val="000D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ser\Desktop\&#1052;&#1077;&#1076;&#1080;&#1094;&#1080;&#1085;&#1089;&#1082;&#1072;&#1103;%20&#1080;&#1084;&#1084;&#1091;&#1085;&#1086;&#1083;&#1086;&#1075;&#1080;&#1103;\&#1056;&#1052;&#1046;%20633%20%20&#1050;&#1056;&#1052;&#1046;%20226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User\Desktop\&#1052;&#1077;&#1076;&#1080;&#1094;&#1080;&#1085;&#1089;&#1082;&#1072;&#1103;%20&#1080;&#1084;&#1084;&#1091;&#1085;&#1086;&#1083;&#1086;&#1075;&#1080;&#1103;\&#1056;&#1052;&#1046;%20633%20%20&#1050;&#1056;&#1052;&#1046;%20226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User\Desktop\&#1052;&#1077;&#1076;&#1080;&#1094;&#1080;&#1085;&#1089;&#1082;&#1072;&#1103;%20&#1080;&#1084;&#1084;&#1091;&#1085;&#1086;&#1083;&#1086;&#1075;&#1080;&#1103;\&#1056;&#1052;&#1046;%20633%20%20&#1050;&#1056;&#1052;&#1046;%202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52508599643455"/>
          <c:y val="9.6928771636710417E-2"/>
          <c:w val="0.84517125984251973"/>
          <c:h val="0.72896669032250794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Лист3!$T$1</c:f>
              <c:strCache>
                <c:ptCount val="1"/>
                <c:pt idx="0">
                  <c:v>Здоровые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spPr>
              <a:ln w="12700">
                <a:solidFill>
                  <a:schemeClr val="tx2">
                    <a:lumMod val="60000"/>
                    <a:lumOff val="40000"/>
                  </a:schemeClr>
                </a:solidFill>
                <a:prstDash val="dashDot"/>
              </a:ln>
            </c:spPr>
            <c:trendlineType val="linear"/>
            <c:dispRSqr val="0"/>
            <c:dispEq val="0"/>
          </c:trendline>
          <c:trendline>
            <c:spPr>
              <a:ln>
                <a:solidFill>
                  <a:schemeClr val="tx1"/>
                </a:solidFill>
                <a:prstDash val="sysDash"/>
              </a:ln>
            </c:spPr>
            <c:trendlineType val="linear"/>
            <c:dispRSqr val="0"/>
            <c:dispEq val="1"/>
            <c:trendlineLbl>
              <c:layout>
                <c:manualLayout>
                  <c:x val="-0.20347103486028176"/>
                  <c:y val="-0.10638068241619646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Здоровые</a:t>
                    </a:r>
                    <a:endParaRPr lang="en-US" b="1"/>
                  </a:p>
                  <a:p>
                    <a:pPr>
                      <a:defRPr b="1"/>
                    </a:pPr>
                    <a:r>
                      <a:rPr lang="en-US" b="1"/>
                      <a:t>HW</a:t>
                    </a:r>
                    <a:endParaRPr lang="ru-RU" b="1"/>
                  </a:p>
                  <a:p>
                    <a:pPr>
                      <a:defRPr b="1"/>
                    </a:pPr>
                    <a:r>
                      <a:rPr lang="en-US" b="1"/>
                      <a:t>y = -0,08x + 0,31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Лист3!$T$3:$T$4</c:f>
              <c:numCache>
                <c:formatCode>General</c:formatCode>
                <c:ptCount val="2"/>
                <c:pt idx="0">
                  <c:v>0.1</c:v>
                </c:pt>
                <c:pt idx="1">
                  <c:v>3.5</c:v>
                </c:pt>
              </c:numCache>
            </c:numRef>
          </c:xVal>
          <c:yVal>
            <c:numRef>
              <c:f>Лист3!$U$3:$U$4</c:f>
              <c:numCache>
                <c:formatCode>General</c:formatCode>
                <c:ptCount val="2"/>
                <c:pt idx="0">
                  <c:v>0.3</c:v>
                </c:pt>
                <c:pt idx="1">
                  <c:v>0.03</c:v>
                </c:pt>
              </c:numCache>
            </c:numRef>
          </c:yVal>
          <c:smooth val="0"/>
        </c:ser>
        <c:ser>
          <c:idx val="2"/>
          <c:order val="1"/>
          <c:tx>
            <c:strRef>
              <c:f>Лист3!$V$1</c:f>
              <c:strCache>
                <c:ptCount val="1"/>
                <c:pt idx="0">
                  <c:v>РМЖ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trendline>
            <c:spPr>
              <a:ln w="15875">
                <a:solidFill>
                  <a:schemeClr val="tx1"/>
                </a:solidFill>
                <a:prstDash val="dash"/>
              </a:ln>
            </c:spPr>
            <c:trendlineType val="linear"/>
            <c:dispRSqr val="0"/>
            <c:dispEq val="1"/>
            <c:trendlineLbl>
              <c:layout>
                <c:manualLayout>
                  <c:x val="2.6525968822818186E-2"/>
                  <c:y val="-0.21193587780694079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РМЖ</a:t>
                    </a:r>
                    <a:endParaRPr lang="en-US" b="1"/>
                  </a:p>
                  <a:p>
                    <a:pPr>
                      <a:defRPr b="1"/>
                    </a:pPr>
                    <a:r>
                      <a:rPr lang="en-US" b="1"/>
                      <a:t>BCP</a:t>
                    </a:r>
                    <a:endParaRPr lang="ru-RU" b="1"/>
                  </a:p>
                  <a:p>
                    <a:pPr>
                      <a:defRPr b="1"/>
                    </a:pPr>
                    <a:r>
                      <a:rPr lang="en-US" b="1"/>
                      <a:t>y = -0,04x + 0,33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Лист3!$V$3:$V$4</c:f>
              <c:numCache>
                <c:formatCode>General</c:formatCode>
                <c:ptCount val="2"/>
                <c:pt idx="0">
                  <c:v>0.1</c:v>
                </c:pt>
                <c:pt idx="1">
                  <c:v>6</c:v>
                </c:pt>
              </c:numCache>
            </c:numRef>
          </c:xVal>
          <c:yVal>
            <c:numRef>
              <c:f>Лист3!$W$3:$W$4</c:f>
              <c:numCache>
                <c:formatCode>General</c:formatCode>
                <c:ptCount val="2"/>
                <c:pt idx="0">
                  <c:v>0.33</c:v>
                </c:pt>
                <c:pt idx="1">
                  <c:v>0.09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6961280"/>
        <c:axId val="186967552"/>
      </c:scatterChart>
      <c:valAx>
        <c:axId val="186961280"/>
        <c:scaling>
          <c:orientation val="minMax"/>
          <c:max val="6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IgA-Pg/IgA-Es</a:t>
                </a:r>
              </a:p>
            </c:rich>
          </c:tx>
          <c:layout>
            <c:manualLayout>
              <c:xMode val="edge"/>
              <c:yMode val="edge"/>
              <c:x val="0.78934579815297379"/>
              <c:y val="0.92141106868532718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86967552"/>
        <c:crosses val="autoZero"/>
        <c:crossBetween val="midCat"/>
        <c:majorUnit val="1"/>
      </c:valAx>
      <c:valAx>
        <c:axId val="186967552"/>
        <c:scaling>
          <c:orientation val="minMax"/>
          <c:max val="0.4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Es (nmol/L)</a:t>
                </a:r>
              </a:p>
            </c:rich>
          </c:tx>
          <c:layout>
            <c:manualLayout>
              <c:xMode val="edge"/>
              <c:yMode val="edge"/>
              <c:x val="1.9376176951373353E-4"/>
              <c:y val="0.28107328780073321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86961280"/>
        <c:crossesAt val="0"/>
        <c:crossBetween val="midCat"/>
        <c:majorUnit val="5.000000000000001E-2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04446656818413"/>
          <c:y val="0.11924400663306207"/>
          <c:w val="0.84517125984251973"/>
          <c:h val="0.70750304747471415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Лист3!$T$23</c:f>
              <c:strCache>
                <c:ptCount val="1"/>
                <c:pt idx="0">
                  <c:v>Здоровые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spPr>
              <a:ln w="12700">
                <a:solidFill>
                  <a:schemeClr val="tx2">
                    <a:lumMod val="60000"/>
                    <a:lumOff val="40000"/>
                  </a:schemeClr>
                </a:solidFill>
                <a:prstDash val="dashDot"/>
              </a:ln>
            </c:spPr>
            <c:trendlineType val="linear"/>
            <c:dispRSqr val="0"/>
            <c:dispEq val="0"/>
          </c:trendline>
          <c:trendline>
            <c:spPr>
              <a:ln>
                <a:solidFill>
                  <a:schemeClr val="tx1"/>
                </a:solidFill>
                <a:prstDash val="dash"/>
              </a:ln>
            </c:spPr>
            <c:trendlineType val="linear"/>
            <c:dispRSqr val="0"/>
            <c:dispEq val="1"/>
            <c:trendlineLbl>
              <c:layout>
                <c:manualLayout>
                  <c:x val="-0.25794197600299962"/>
                  <c:y val="0.12064441735578031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Здоровые</a:t>
                    </a:r>
                    <a:endParaRPr lang="en-US" b="1"/>
                  </a:p>
                  <a:p>
                    <a:pPr>
                      <a:defRPr b="1"/>
                    </a:pPr>
                    <a:r>
                      <a:rPr lang="en-US" b="1"/>
                      <a:t>HW</a:t>
                    </a:r>
                    <a:endParaRPr lang="ru-RU" b="1"/>
                  </a:p>
                  <a:p>
                    <a:pPr>
                      <a:defRPr b="1"/>
                    </a:pPr>
                    <a:r>
                      <a:rPr lang="en-US" b="1"/>
                      <a:t>y = 0,59x + 0,6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Лист3!$T$25:$T$26</c:f>
              <c:numCache>
                <c:formatCode>General</c:formatCode>
                <c:ptCount val="2"/>
                <c:pt idx="0">
                  <c:v>0.1</c:v>
                </c:pt>
                <c:pt idx="1">
                  <c:v>3.5</c:v>
                </c:pt>
              </c:numCache>
            </c:numRef>
          </c:xVal>
          <c:yVal>
            <c:numRef>
              <c:f>Лист3!$U$25:$U$26</c:f>
              <c:numCache>
                <c:formatCode>General</c:formatCode>
                <c:ptCount val="2"/>
                <c:pt idx="0">
                  <c:v>0.66</c:v>
                </c:pt>
                <c:pt idx="1">
                  <c:v>2.7</c:v>
                </c:pt>
              </c:numCache>
            </c:numRef>
          </c:yVal>
          <c:smooth val="0"/>
        </c:ser>
        <c:ser>
          <c:idx val="2"/>
          <c:order val="1"/>
          <c:tx>
            <c:strRef>
              <c:f>Лист3!$V$23</c:f>
              <c:strCache>
                <c:ptCount val="1"/>
                <c:pt idx="0">
                  <c:v>РМЖ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trendline>
            <c:spPr>
              <a:ln w="15875">
                <a:solidFill>
                  <a:schemeClr val="tx1"/>
                </a:solidFill>
                <a:prstDash val="dash"/>
              </a:ln>
            </c:spPr>
            <c:trendlineType val="linear"/>
            <c:dispRSqr val="0"/>
            <c:dispEq val="1"/>
            <c:trendlineLbl>
              <c:layout>
                <c:manualLayout>
                  <c:x val="-4.2209880014998126E-2"/>
                  <c:y val="0.13889104866075841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РМЖ</a:t>
                    </a:r>
                    <a:endParaRPr lang="en-US" b="1"/>
                  </a:p>
                  <a:p>
                    <a:pPr>
                      <a:defRPr b="1"/>
                    </a:pPr>
                    <a:r>
                      <a:rPr lang="en-US" b="1"/>
                      <a:t>BCP</a:t>
                    </a:r>
                    <a:endParaRPr lang="ru-RU" b="1"/>
                  </a:p>
                  <a:p>
                    <a:pPr>
                      <a:defRPr b="1"/>
                    </a:pPr>
                    <a:r>
                      <a:rPr lang="en-US" b="1"/>
                      <a:t>y = 0,13x + 0,83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Лист3!$V$25:$V$26</c:f>
              <c:numCache>
                <c:formatCode>General</c:formatCode>
                <c:ptCount val="2"/>
                <c:pt idx="0">
                  <c:v>0.1</c:v>
                </c:pt>
                <c:pt idx="1">
                  <c:v>6</c:v>
                </c:pt>
              </c:numCache>
            </c:numRef>
          </c:xVal>
          <c:yVal>
            <c:numRef>
              <c:f>Лист3!$W$25:$W$26</c:f>
              <c:numCache>
                <c:formatCode>General</c:formatCode>
                <c:ptCount val="2"/>
                <c:pt idx="0">
                  <c:v>0.84</c:v>
                </c:pt>
                <c:pt idx="1">
                  <c:v>1.6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7036416"/>
        <c:axId val="187038336"/>
      </c:scatterChart>
      <c:valAx>
        <c:axId val="187036416"/>
        <c:scaling>
          <c:orientation val="minMax"/>
          <c:max val="6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IgA-Pg/IgA-Es</a:t>
                </a:r>
              </a:p>
            </c:rich>
          </c:tx>
          <c:layout>
            <c:manualLayout>
              <c:xMode val="edge"/>
              <c:yMode val="edge"/>
              <c:x val="0.79430703700947469"/>
              <c:y val="0.92141106868532718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87038336"/>
        <c:crosses val="autoZero"/>
        <c:crossBetween val="midCat"/>
        <c:majorUnit val="1"/>
      </c:valAx>
      <c:valAx>
        <c:axId val="187038336"/>
        <c:scaling>
          <c:orientation val="minMax"/>
          <c:max val="3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Pg (nmol/L)</a:t>
                </a:r>
              </a:p>
            </c:rich>
          </c:tx>
          <c:layout>
            <c:manualLayout>
              <c:xMode val="edge"/>
              <c:yMode val="edge"/>
              <c:x val="1.9376176951373461E-4"/>
              <c:y val="0.3097728366679296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87036416"/>
        <c:crossesAt val="0"/>
        <c:crossBetween val="midCat"/>
        <c:majorUnit val="0.5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6073532469089"/>
          <c:y val="0.10783181514075445"/>
          <c:w val="0.8455449402158064"/>
          <c:h val="0.72978858389323764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Лист3!$T$45</c:f>
              <c:strCache>
                <c:ptCount val="1"/>
                <c:pt idx="0">
                  <c:v>Здоровые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trendline>
            <c:spPr>
              <a:ln w="12700">
                <a:solidFill>
                  <a:schemeClr val="tx2">
                    <a:lumMod val="60000"/>
                    <a:lumOff val="40000"/>
                  </a:schemeClr>
                </a:solidFill>
                <a:prstDash val="dashDot"/>
              </a:ln>
            </c:spPr>
            <c:trendlineType val="linear"/>
            <c:dispRSqr val="0"/>
            <c:dispEq val="0"/>
          </c:trendline>
          <c:trendline>
            <c:spPr>
              <a:ln>
                <a:solidFill>
                  <a:schemeClr val="tx1"/>
                </a:solidFill>
                <a:prstDash val="dash"/>
              </a:ln>
            </c:spPr>
            <c:trendlineType val="linear"/>
            <c:dispRSqr val="0"/>
            <c:dispEq val="1"/>
            <c:trendlineLbl>
              <c:layout>
                <c:manualLayout>
                  <c:x val="-0.2563162179434979"/>
                  <c:y val="0.13230082294226417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Здоровые</a:t>
                    </a:r>
                    <a:endParaRPr lang="en-US" b="1"/>
                  </a:p>
                  <a:p>
                    <a:pPr>
                      <a:defRPr b="1"/>
                    </a:pPr>
                    <a:r>
                      <a:rPr lang="en-US" b="1"/>
                      <a:t>HW</a:t>
                    </a:r>
                    <a:endParaRPr lang="ru-RU" b="1"/>
                  </a:p>
                  <a:p>
                    <a:pPr>
                      <a:defRPr b="1"/>
                    </a:pPr>
                    <a:r>
                      <a:rPr lang="en-US" b="1" i="1"/>
                      <a:t>y</a:t>
                    </a:r>
                    <a:r>
                      <a:rPr lang="en-US" b="1"/>
                      <a:t> = 4,98</a:t>
                    </a:r>
                    <a:r>
                      <a:rPr lang="en-US" b="1" i="1"/>
                      <a:t>x</a:t>
                    </a:r>
                    <a:r>
                      <a:rPr lang="en-US" b="1"/>
                      <a:t> + 5,55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Лист3!$T$47:$T$48</c:f>
              <c:numCache>
                <c:formatCode>General</c:formatCode>
                <c:ptCount val="2"/>
                <c:pt idx="0">
                  <c:v>0.1</c:v>
                </c:pt>
                <c:pt idx="1">
                  <c:v>3.5</c:v>
                </c:pt>
              </c:numCache>
            </c:numRef>
          </c:xVal>
          <c:yVal>
            <c:numRef>
              <c:f>Лист3!$U$47:$U$48</c:f>
              <c:numCache>
                <c:formatCode>General</c:formatCode>
                <c:ptCount val="2"/>
                <c:pt idx="0">
                  <c:v>6.05</c:v>
                </c:pt>
                <c:pt idx="1">
                  <c:v>22.98</c:v>
                </c:pt>
              </c:numCache>
            </c:numRef>
          </c:yVal>
          <c:smooth val="0"/>
        </c:ser>
        <c:ser>
          <c:idx val="2"/>
          <c:order val="1"/>
          <c:tx>
            <c:strRef>
              <c:f>Лист3!$V$45</c:f>
              <c:strCache>
                <c:ptCount val="1"/>
                <c:pt idx="0">
                  <c:v>РМЖ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trendline>
            <c:spPr>
              <a:ln w="15875">
                <a:solidFill>
                  <a:schemeClr val="tx1"/>
                </a:solidFill>
                <a:prstDash val="dash"/>
              </a:ln>
            </c:spPr>
            <c:trendlineType val="linear"/>
            <c:dispRSqr val="0"/>
            <c:dispEq val="1"/>
            <c:trendlineLbl>
              <c:layout>
                <c:manualLayout>
                  <c:x val="3.2932929218531685E-2"/>
                  <c:y val="0.10448828161094025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РМЖ</a:t>
                    </a:r>
                    <a:endParaRPr lang="en-US" b="1"/>
                  </a:p>
                  <a:p>
                    <a:pPr>
                      <a:defRPr b="1"/>
                    </a:pPr>
                    <a:r>
                      <a:rPr lang="en-US" b="1"/>
                      <a:t>BCP</a:t>
                    </a:r>
                    <a:endParaRPr lang="ru-RU" b="1"/>
                  </a:p>
                  <a:p>
                    <a:pPr>
                      <a:defRPr b="1"/>
                    </a:pPr>
                    <a:r>
                      <a:rPr lang="en-US" b="1" i="1"/>
                      <a:t>y</a:t>
                    </a:r>
                    <a:r>
                      <a:rPr lang="en-US" b="1"/>
                      <a:t> = 1,19</a:t>
                    </a:r>
                    <a:r>
                      <a:rPr lang="en-US" b="1" i="1"/>
                      <a:t>x</a:t>
                    </a:r>
                    <a:r>
                      <a:rPr lang="en-US" b="1"/>
                      <a:t> + 4,54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Лист3!$V$47:$V$48</c:f>
              <c:numCache>
                <c:formatCode>General</c:formatCode>
                <c:ptCount val="2"/>
                <c:pt idx="0">
                  <c:v>0.1</c:v>
                </c:pt>
                <c:pt idx="1">
                  <c:v>6</c:v>
                </c:pt>
              </c:numCache>
            </c:numRef>
          </c:xVal>
          <c:yVal>
            <c:numRef>
              <c:f>Лист3!$W$47:$W$48</c:f>
              <c:numCache>
                <c:formatCode>General</c:formatCode>
                <c:ptCount val="2"/>
                <c:pt idx="0">
                  <c:v>4.66</c:v>
                </c:pt>
                <c:pt idx="1">
                  <c:v>11.68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7484032"/>
        <c:axId val="187650048"/>
      </c:scatterChart>
      <c:valAx>
        <c:axId val="187484032"/>
        <c:scaling>
          <c:orientation val="minMax"/>
          <c:max val="6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IgA-Pg/IgA-Es</a:t>
                </a:r>
              </a:p>
            </c:rich>
          </c:tx>
          <c:layout>
            <c:manualLayout>
              <c:xMode val="edge"/>
              <c:yMode val="edge"/>
              <c:x val="0.78934579815297379"/>
              <c:y val="0.92141106868532718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87650048"/>
        <c:crosses val="autoZero"/>
        <c:crossBetween val="midCat"/>
        <c:majorUnit val="1"/>
      </c:valAx>
      <c:valAx>
        <c:axId val="187650048"/>
        <c:scaling>
          <c:orientation val="minMax"/>
          <c:max val="25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Pg</a:t>
                </a:r>
                <a:r>
                  <a:rPr lang="ru-RU"/>
                  <a:t>/</a:t>
                </a:r>
                <a:r>
                  <a:rPr lang="en-US"/>
                  <a:t>Es </a:t>
                </a:r>
              </a:p>
            </c:rich>
          </c:tx>
          <c:layout>
            <c:manualLayout>
              <c:xMode val="edge"/>
              <c:yMode val="edge"/>
              <c:x val="1.9387576552930887E-4"/>
              <c:y val="0.36829725696052706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87484032"/>
        <c:crossesAt val="0"/>
        <c:crossBetween val="midCat"/>
        <c:majorUnit val="5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0.47628</cdr:x>
      <cdr:y>0</cdr:y>
    </cdr:from>
    <cdr:to>
      <cdr:x>0.53953</cdr:x>
      <cdr:y>0.09327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38400" y="0"/>
          <a:ext cx="3238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  <a:endParaRPr lang="ru-RU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0.46326</cdr:x>
      <cdr:y>0.01435</cdr:y>
    </cdr:from>
    <cdr:to>
      <cdr:x>0.53209</cdr:x>
      <cdr:y>0.11121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371725" y="38100"/>
          <a:ext cx="3524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  <a:endParaRPr lang="ru-RU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0.45767</cdr:x>
      <cdr:y>0.00717</cdr:y>
    </cdr:from>
    <cdr:to>
      <cdr:x>0.53581</cdr:x>
      <cdr:y>0.10404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343150" y="19050"/>
          <a:ext cx="4000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C</a:t>
          </a:r>
          <a:endParaRPr lang="ru-RU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23</cp:revision>
  <dcterms:created xsi:type="dcterms:W3CDTF">2018-12-26T05:05:00Z</dcterms:created>
  <dcterms:modified xsi:type="dcterms:W3CDTF">2019-02-20T07:30:00Z</dcterms:modified>
</cp:coreProperties>
</file>