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99" w:rsidRPr="00543B6C" w:rsidRDefault="00C22199" w:rsidP="00C221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C22199" w:rsidRDefault="00C22199" w:rsidP="00C221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1A">
        <w:rPr>
          <w:rFonts w:ascii="Times New Roman" w:hAnsi="Times New Roman" w:cs="Times New Roman"/>
          <w:sz w:val="24"/>
          <w:szCs w:val="24"/>
        </w:rPr>
        <w:t xml:space="preserve">Туберкулез лёгких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F3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FB671A">
        <w:rPr>
          <w:rFonts w:ascii="Times New Roman" w:hAnsi="Times New Roman" w:cs="Times New Roman"/>
          <w:sz w:val="24"/>
          <w:szCs w:val="24"/>
        </w:rPr>
        <w:t>гранулематозн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FB671A">
        <w:rPr>
          <w:rFonts w:ascii="Times New Roman" w:hAnsi="Times New Roman" w:cs="Times New Roman"/>
          <w:sz w:val="24"/>
          <w:szCs w:val="24"/>
        </w:rPr>
        <w:t xml:space="preserve"> заболевани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B671A">
        <w:rPr>
          <w:rFonts w:ascii="Times New Roman" w:hAnsi="Times New Roman" w:cs="Times New Roman"/>
          <w:sz w:val="24"/>
          <w:szCs w:val="24"/>
        </w:rPr>
        <w:t>, при котором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71A">
        <w:rPr>
          <w:rFonts w:ascii="Times New Roman" w:hAnsi="Times New Roman" w:cs="Times New Roman"/>
          <w:sz w:val="24"/>
          <w:szCs w:val="24"/>
        </w:rPr>
        <w:t xml:space="preserve">выявляться аутоиммунные нарушения, что косвенно подтверждается повышением уровня </w:t>
      </w:r>
      <w:proofErr w:type="spellStart"/>
      <w:r w:rsidRPr="00FB671A">
        <w:rPr>
          <w:rFonts w:ascii="Times New Roman" w:hAnsi="Times New Roman" w:cs="Times New Roman"/>
          <w:sz w:val="24"/>
          <w:szCs w:val="24"/>
        </w:rPr>
        <w:t>аутоантител</w:t>
      </w:r>
      <w:proofErr w:type="spellEnd"/>
      <w:r w:rsidRPr="00FB671A">
        <w:rPr>
          <w:rFonts w:ascii="Times New Roman" w:hAnsi="Times New Roman" w:cs="Times New Roman"/>
          <w:sz w:val="24"/>
          <w:szCs w:val="24"/>
        </w:rPr>
        <w:t xml:space="preserve"> к различным модификациям </w:t>
      </w:r>
      <w:proofErr w:type="spellStart"/>
      <w:r w:rsidRPr="00FB671A">
        <w:rPr>
          <w:rFonts w:ascii="Times New Roman" w:hAnsi="Times New Roman" w:cs="Times New Roman"/>
          <w:sz w:val="24"/>
          <w:szCs w:val="24"/>
        </w:rPr>
        <w:t>виментина</w:t>
      </w:r>
      <w:proofErr w:type="spellEnd"/>
      <w:r w:rsidRPr="00FB671A">
        <w:rPr>
          <w:rFonts w:ascii="Times New Roman" w:hAnsi="Times New Roman" w:cs="Times New Roman"/>
          <w:sz w:val="24"/>
          <w:szCs w:val="24"/>
        </w:rPr>
        <w:t xml:space="preserve"> в плазме крови пациентов с данным заболеванием.</w:t>
      </w:r>
    </w:p>
    <w:p w:rsidR="00C22199" w:rsidRDefault="00C22199" w:rsidP="00C221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1A">
        <w:rPr>
          <w:rFonts w:ascii="Times New Roman" w:hAnsi="Times New Roman" w:cs="Times New Roman"/>
          <w:b/>
          <w:sz w:val="24"/>
          <w:szCs w:val="24"/>
        </w:rPr>
        <w:t>Материалы и методы.</w:t>
      </w:r>
      <w:r w:rsidRPr="00FB671A">
        <w:rPr>
          <w:rFonts w:ascii="Times New Roman" w:hAnsi="Times New Roman" w:cs="Times New Roman"/>
          <w:sz w:val="24"/>
          <w:szCs w:val="24"/>
        </w:rPr>
        <w:t xml:space="preserve"> Исследование проводилось за период 2014 - 2017 гг. с включением 28 больных туберкулезом легких (группа </w:t>
      </w:r>
      <w:r w:rsidRPr="00FB67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B671A">
        <w:rPr>
          <w:rFonts w:ascii="Times New Roman" w:hAnsi="Times New Roman" w:cs="Times New Roman"/>
          <w:sz w:val="24"/>
          <w:szCs w:val="24"/>
        </w:rPr>
        <w:t>), 30 больных с аутоиммунными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71A">
        <w:rPr>
          <w:rFonts w:ascii="Times New Roman" w:hAnsi="Times New Roman" w:cs="Times New Roman"/>
          <w:sz w:val="24"/>
          <w:szCs w:val="24"/>
        </w:rPr>
        <w:t>заболеваниями легких (</w:t>
      </w:r>
      <w:r w:rsidRPr="00FB671A">
        <w:rPr>
          <w:rFonts w:ascii="Times New Roman" w:hAnsi="Times New Roman" w:cs="Times New Roman"/>
          <w:sz w:val="24"/>
          <w:szCs w:val="24"/>
          <w:lang w:val="en-CA"/>
        </w:rPr>
        <w:t>II</w:t>
      </w:r>
      <w:r w:rsidRPr="00FB671A">
        <w:rPr>
          <w:rFonts w:ascii="Times New Roman" w:hAnsi="Times New Roman" w:cs="Times New Roman"/>
          <w:sz w:val="24"/>
          <w:szCs w:val="24"/>
        </w:rPr>
        <w:t xml:space="preserve"> группа): 15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671A">
        <w:rPr>
          <w:rFonts w:ascii="Times New Roman" w:hAnsi="Times New Roman" w:cs="Times New Roman"/>
          <w:sz w:val="24"/>
          <w:szCs w:val="24"/>
        </w:rPr>
        <w:t xml:space="preserve">с гранулематозным </w:t>
      </w:r>
      <w:proofErr w:type="spellStart"/>
      <w:r w:rsidRPr="00FB671A">
        <w:rPr>
          <w:rFonts w:ascii="Times New Roman" w:hAnsi="Times New Roman" w:cs="Times New Roman"/>
          <w:sz w:val="24"/>
          <w:szCs w:val="24"/>
        </w:rPr>
        <w:t>полиангиитом</w:t>
      </w:r>
      <w:proofErr w:type="spellEnd"/>
      <w:r w:rsidRPr="00FB671A">
        <w:rPr>
          <w:rFonts w:ascii="Times New Roman" w:hAnsi="Times New Roman" w:cs="Times New Roman"/>
          <w:sz w:val="24"/>
          <w:szCs w:val="24"/>
        </w:rPr>
        <w:t xml:space="preserve"> и 15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671A">
        <w:rPr>
          <w:rFonts w:ascii="Times New Roman" w:hAnsi="Times New Roman" w:cs="Times New Roman"/>
          <w:sz w:val="24"/>
          <w:szCs w:val="24"/>
        </w:rPr>
        <w:t xml:space="preserve">с различными </w:t>
      </w:r>
      <w:proofErr w:type="spellStart"/>
      <w:r w:rsidRPr="00FB671A">
        <w:rPr>
          <w:rFonts w:ascii="Times New Roman" w:hAnsi="Times New Roman" w:cs="Times New Roman"/>
          <w:sz w:val="24"/>
          <w:szCs w:val="24"/>
        </w:rPr>
        <w:t>альвеолитами</w:t>
      </w:r>
      <w:proofErr w:type="spellEnd"/>
      <w:r w:rsidRPr="00FB671A">
        <w:rPr>
          <w:rFonts w:ascii="Times New Roman" w:hAnsi="Times New Roman" w:cs="Times New Roman"/>
          <w:sz w:val="24"/>
          <w:szCs w:val="24"/>
        </w:rPr>
        <w:t>.</w:t>
      </w:r>
      <w:r w:rsidRPr="00FB671A">
        <w:rPr>
          <w:rFonts w:ascii="Times New Roman" w:hAnsi="Times New Roman" w:cs="Times New Roman"/>
          <w:sz w:val="28"/>
          <w:szCs w:val="28"/>
        </w:rPr>
        <w:t xml:space="preserve"> </w:t>
      </w:r>
      <w:r w:rsidRPr="00FB671A">
        <w:rPr>
          <w:rFonts w:ascii="Times New Roman" w:hAnsi="Times New Roman" w:cs="Times New Roman"/>
          <w:sz w:val="24"/>
          <w:szCs w:val="24"/>
        </w:rPr>
        <w:t>Контрольную группу составили здоровые субъекты (</w:t>
      </w:r>
      <w:r w:rsidRPr="00FB671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B671A">
        <w:rPr>
          <w:rFonts w:ascii="Times New Roman" w:hAnsi="Times New Roman" w:cs="Times New Roman"/>
          <w:sz w:val="24"/>
          <w:szCs w:val="24"/>
        </w:rPr>
        <w:t xml:space="preserve"> = 40). </w:t>
      </w:r>
    </w:p>
    <w:p w:rsidR="00C22199" w:rsidRDefault="00C22199" w:rsidP="00C221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1A">
        <w:rPr>
          <w:rFonts w:ascii="Times New Roman" w:hAnsi="Times New Roman" w:cs="Times New Roman"/>
          <w:sz w:val="24"/>
          <w:szCs w:val="24"/>
        </w:rPr>
        <w:t xml:space="preserve">Концентрация антител к мутированному </w:t>
      </w:r>
      <w:proofErr w:type="spellStart"/>
      <w:r w:rsidRPr="00FB671A">
        <w:rPr>
          <w:rFonts w:ascii="Times New Roman" w:hAnsi="Times New Roman" w:cs="Times New Roman"/>
          <w:sz w:val="24"/>
          <w:szCs w:val="24"/>
        </w:rPr>
        <w:t>цитруллинированному</w:t>
      </w:r>
      <w:proofErr w:type="spellEnd"/>
      <w:r w:rsidRPr="00FB6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71A">
        <w:rPr>
          <w:rFonts w:ascii="Times New Roman" w:hAnsi="Times New Roman" w:cs="Times New Roman"/>
          <w:sz w:val="24"/>
          <w:szCs w:val="24"/>
        </w:rPr>
        <w:t>виментину</w:t>
      </w:r>
      <w:proofErr w:type="spellEnd"/>
      <w:r w:rsidRPr="00FB671A">
        <w:rPr>
          <w:rFonts w:ascii="Times New Roman" w:hAnsi="Times New Roman" w:cs="Times New Roman"/>
          <w:sz w:val="24"/>
          <w:szCs w:val="24"/>
        </w:rPr>
        <w:t xml:space="preserve"> (анти-</w:t>
      </w:r>
      <w:r w:rsidRPr="00FB671A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FB671A">
        <w:rPr>
          <w:rFonts w:ascii="Times New Roman" w:hAnsi="Times New Roman" w:cs="Times New Roman"/>
          <w:sz w:val="24"/>
          <w:szCs w:val="24"/>
        </w:rPr>
        <w:t>) была измерена в сыворотке крови всех участников</w:t>
      </w:r>
      <w:r w:rsidRPr="004C2CD3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</w:t>
      </w:r>
      <w:r w:rsidRPr="00FB671A">
        <w:rPr>
          <w:rFonts w:ascii="Times New Roman" w:hAnsi="Times New Roman" w:cs="Times New Roman"/>
          <w:sz w:val="24"/>
          <w:szCs w:val="24"/>
        </w:rPr>
        <w:t xml:space="preserve"> ELISA (ORGENTEC, </w:t>
      </w:r>
      <w:r>
        <w:rPr>
          <w:rFonts w:ascii="Times New Roman" w:hAnsi="Times New Roman" w:cs="Times New Roman"/>
          <w:sz w:val="24"/>
          <w:szCs w:val="24"/>
        </w:rPr>
        <w:t>Германия</w:t>
      </w:r>
      <w:r w:rsidRPr="00FB671A">
        <w:rPr>
          <w:rFonts w:ascii="Times New Roman" w:hAnsi="Times New Roman" w:cs="Times New Roman"/>
          <w:sz w:val="24"/>
          <w:szCs w:val="24"/>
        </w:rPr>
        <w:t xml:space="preserve">). </w:t>
      </w:r>
      <w:r w:rsidRPr="004C2CD3">
        <w:rPr>
          <w:rFonts w:ascii="Times New Roman" w:hAnsi="Times New Roman" w:cs="Times New Roman"/>
          <w:sz w:val="24"/>
          <w:szCs w:val="24"/>
        </w:rPr>
        <w:t>Пациенты с повышенным уровнем 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были протестированы на наличие антител к циклическому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цитруллинированному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пептиду (анти-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Pr="004C2CD3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цитруллинированному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виментину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(анти-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4C2CD3">
        <w:rPr>
          <w:rFonts w:ascii="Times New Roman" w:hAnsi="Times New Roman" w:cs="Times New Roman"/>
          <w:sz w:val="24"/>
          <w:szCs w:val="24"/>
        </w:rPr>
        <w:t>)</w:t>
      </w:r>
      <w:r w:rsidRPr="00FB6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Pr="00FB671A">
        <w:rPr>
          <w:rFonts w:ascii="Times New Roman" w:hAnsi="Times New Roman" w:cs="Times New Roman"/>
          <w:sz w:val="24"/>
          <w:szCs w:val="24"/>
        </w:rPr>
        <w:t xml:space="preserve">ELISA (EUROIMMUN, </w:t>
      </w:r>
      <w:r>
        <w:rPr>
          <w:rFonts w:ascii="Times New Roman" w:hAnsi="Times New Roman" w:cs="Times New Roman"/>
          <w:sz w:val="24"/>
          <w:szCs w:val="24"/>
        </w:rPr>
        <w:t>Германия</w:t>
      </w:r>
      <w:r w:rsidRPr="00FB671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 xml:space="preserve">Статистический анализ был проведен с использованием </w:t>
      </w:r>
      <w:proofErr w:type="spellStart"/>
      <w:r w:rsidRPr="004C2CD3">
        <w:rPr>
          <w:rFonts w:ascii="Times New Roman" w:hAnsi="Times New Roman" w:cs="Times New Roman"/>
          <w:sz w:val="24"/>
          <w:szCs w:val="24"/>
          <w:lang w:val="en-US"/>
        </w:rPr>
        <w:t>GraphPad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Prism</w:t>
      </w:r>
      <w:r w:rsidRPr="004C2CD3">
        <w:rPr>
          <w:rFonts w:ascii="Times New Roman" w:hAnsi="Times New Roman" w:cs="Times New Roman"/>
          <w:sz w:val="24"/>
          <w:szCs w:val="24"/>
        </w:rPr>
        <w:t xml:space="preserve"> 6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Graph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Pad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Pr="004C2CD3">
        <w:rPr>
          <w:rFonts w:ascii="Times New Roman" w:hAnsi="Times New Roman" w:cs="Times New Roman"/>
          <w:sz w:val="24"/>
          <w:szCs w:val="24"/>
        </w:rPr>
        <w:t xml:space="preserve">, США), </w:t>
      </w:r>
      <w:proofErr w:type="spellStart"/>
      <w:r w:rsidRPr="004C2CD3"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10 (</w:t>
      </w:r>
      <w:proofErr w:type="spellStart"/>
      <w:r w:rsidRPr="004C2CD3">
        <w:rPr>
          <w:rFonts w:ascii="Times New Roman" w:hAnsi="Times New Roman" w:cs="Times New Roman"/>
          <w:sz w:val="24"/>
          <w:szCs w:val="24"/>
          <w:lang w:val="en-US"/>
        </w:rPr>
        <w:t>Statsoft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, США). Различия считались статистически значимыми при уровне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C2CD3">
        <w:rPr>
          <w:rFonts w:ascii="Times New Roman" w:hAnsi="Times New Roman" w:cs="Times New Roman"/>
          <w:sz w:val="24"/>
          <w:szCs w:val="24"/>
        </w:rPr>
        <w:t xml:space="preserve"> менее 0,05.</w:t>
      </w:r>
    </w:p>
    <w:p w:rsidR="00C22199" w:rsidRDefault="00C22199" w:rsidP="00C221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Результаты исследования.</w:t>
      </w:r>
      <w:r w:rsidRPr="004C2CD3">
        <w:rPr>
          <w:rFonts w:ascii="Times New Roman" w:hAnsi="Times New Roman" w:cs="Times New Roman"/>
          <w:sz w:val="24"/>
          <w:szCs w:val="24"/>
        </w:rPr>
        <w:t xml:space="preserve"> Концентрации антител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были</w:t>
      </w:r>
      <w:r>
        <w:rPr>
          <w:rFonts w:ascii="Times New Roman" w:hAnsi="Times New Roman" w:cs="Times New Roman"/>
          <w:sz w:val="24"/>
          <w:szCs w:val="24"/>
        </w:rPr>
        <w:t xml:space="preserve"> значительно выше у пациентов </w:t>
      </w:r>
      <w:r w:rsidRPr="004C2CD3">
        <w:rPr>
          <w:rFonts w:ascii="Times New Roman" w:hAnsi="Times New Roman" w:cs="Times New Roman"/>
          <w:sz w:val="24"/>
          <w:szCs w:val="24"/>
        </w:rPr>
        <w:t xml:space="preserve">с туберкулезом (группа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CD3">
        <w:rPr>
          <w:rFonts w:ascii="Times New Roman" w:hAnsi="Times New Roman" w:cs="Times New Roman"/>
          <w:sz w:val="24"/>
          <w:szCs w:val="24"/>
        </w:rPr>
        <w:t>, 60,7% случаев, 17/28) по сравнению с групп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2CD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контрольной группой </w:t>
      </w:r>
      <w:r w:rsidRPr="004C2CD3">
        <w:rPr>
          <w:rFonts w:ascii="Times New Roman" w:hAnsi="Times New Roman" w:cs="Times New Roman"/>
          <w:sz w:val="24"/>
          <w:szCs w:val="24"/>
        </w:rPr>
        <w:t xml:space="preserve">(23,6% и 25,0% случаев соответственно). </w:t>
      </w:r>
      <w:r w:rsidRPr="007D61AD">
        <w:rPr>
          <w:rFonts w:ascii="Times New Roman" w:hAnsi="Times New Roman" w:cs="Times New Roman"/>
          <w:sz w:val="24"/>
          <w:szCs w:val="24"/>
        </w:rPr>
        <w:t>Статистически значимой разницы между результатами уровня анти-</w:t>
      </w:r>
      <w:r w:rsidRPr="007D61AD">
        <w:rPr>
          <w:rFonts w:ascii="Times New Roman" w:hAnsi="Times New Roman" w:cs="Times New Roman"/>
          <w:sz w:val="24"/>
          <w:szCs w:val="24"/>
          <w:lang w:val="en-US"/>
        </w:rPr>
        <w:t>MVC</w:t>
      </w:r>
      <w:r w:rsidRPr="007D61AD">
        <w:rPr>
          <w:rFonts w:ascii="Times New Roman" w:hAnsi="Times New Roman" w:cs="Times New Roman"/>
          <w:sz w:val="24"/>
          <w:szCs w:val="24"/>
        </w:rPr>
        <w:t xml:space="preserve"> и анти-</w:t>
      </w:r>
      <w:r w:rsidRPr="007D61AD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Pr="007D61AD">
        <w:rPr>
          <w:rFonts w:ascii="Times New Roman" w:hAnsi="Times New Roman" w:cs="Times New Roman"/>
          <w:sz w:val="24"/>
          <w:szCs w:val="24"/>
        </w:rPr>
        <w:t xml:space="preserve"> в группе сравнения с контрольной группой обнаружено не было (р = 0,18).</w:t>
      </w:r>
    </w:p>
    <w:p w:rsidR="00C22199" w:rsidRDefault="00C22199" w:rsidP="00C221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Pr="004C2CD3">
        <w:rPr>
          <w:rFonts w:ascii="Times New Roman" w:hAnsi="Times New Roman" w:cs="Times New Roman"/>
          <w:sz w:val="24"/>
          <w:szCs w:val="24"/>
        </w:rPr>
        <w:t xml:space="preserve"> Высокий уровень 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антител у пациентов туберкулезом легких отражает возможность развития аутоиммунного процесса в патогенезе </w:t>
      </w:r>
      <w:r>
        <w:rPr>
          <w:rFonts w:ascii="Times New Roman" w:hAnsi="Times New Roman" w:cs="Times New Roman"/>
          <w:sz w:val="24"/>
          <w:szCs w:val="24"/>
        </w:rPr>
        <w:t>заболевания</w:t>
      </w:r>
      <w:r w:rsidRPr="004C2CD3">
        <w:rPr>
          <w:rFonts w:ascii="Times New Roman" w:hAnsi="Times New Roman" w:cs="Times New Roman"/>
          <w:sz w:val="24"/>
          <w:szCs w:val="24"/>
        </w:rPr>
        <w:t>. Измерение концентрации в плазме крови 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антител может иметь значение для коррекции назначаемой терапии, в особенности </w:t>
      </w:r>
      <w:r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иммуносупрессивных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и гормональных лекарственных средств.</w:t>
      </w:r>
    </w:p>
    <w:p w:rsidR="00C22199" w:rsidRDefault="00C22199" w:rsidP="00C221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4C2CD3">
        <w:rPr>
          <w:rFonts w:ascii="Times New Roman" w:hAnsi="Times New Roman" w:cs="Times New Roman"/>
          <w:sz w:val="24"/>
          <w:szCs w:val="24"/>
        </w:rPr>
        <w:t xml:space="preserve"> туберкулез,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виментин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, модифицированный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цитруллинированный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виментин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аутоантитела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2CD3">
        <w:rPr>
          <w:rFonts w:ascii="Times New Roman" w:hAnsi="Times New Roman" w:cs="Times New Roman"/>
          <w:sz w:val="24"/>
          <w:szCs w:val="24"/>
        </w:rPr>
        <w:t>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</w:p>
    <w:p w:rsidR="0073158C" w:rsidRDefault="0073158C">
      <w:bookmarkStart w:id="0" w:name="_GoBack"/>
      <w:bookmarkEnd w:id="0"/>
    </w:p>
    <w:sectPr w:rsidR="0073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88"/>
    <w:rsid w:val="00227088"/>
    <w:rsid w:val="0073158C"/>
    <w:rsid w:val="00C2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2F8C-29E1-431B-8133-4B0C3DCE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2019-02-13T22:37:00Z</dcterms:created>
  <dcterms:modified xsi:type="dcterms:W3CDTF">2019-02-13T22:37:00Z</dcterms:modified>
</cp:coreProperties>
</file>