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5E" w:rsidRPr="00B45D60" w:rsidRDefault="0053315E" w:rsidP="00533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53315E" w:rsidRPr="00B45D60" w:rsidRDefault="0053315E" w:rsidP="005331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ab/>
      </w:r>
    </w:p>
    <w:p w:rsidR="0053315E" w:rsidRPr="00B45D60" w:rsidRDefault="0053315E" w:rsidP="0053315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Туберкулез (ТБ), является одним из гранулематозных заболеваний с известным этиологическим фактором. Связь туберкулеза легких с возможным развитием аутоиммунного процесса остается малоизученным вопросом [1, 3]. </w:t>
      </w:r>
    </w:p>
    <w:p w:rsidR="0053315E" w:rsidRPr="00B45D60" w:rsidRDefault="0053315E" w:rsidP="0053315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 1986 году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B45D60">
        <w:rPr>
          <w:rFonts w:ascii="Times New Roman" w:hAnsi="Times New Roman" w:cs="Times New Roman"/>
          <w:sz w:val="24"/>
          <w:szCs w:val="24"/>
        </w:rPr>
        <w:t xml:space="preserve">.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Shoenfeld</w:t>
      </w:r>
      <w:r w:rsidRPr="00B45D60">
        <w:rPr>
          <w:rFonts w:ascii="Times New Roman" w:hAnsi="Times New Roman" w:cs="Times New Roman"/>
          <w:sz w:val="24"/>
          <w:szCs w:val="24"/>
        </w:rPr>
        <w:t xml:space="preserve"> высказал предположение, что среди всех триггерных факторов, приводящих к развитию аутоиммунных реакций, именно инфекционные факторы и непосредственно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B45D60">
        <w:rPr>
          <w:rFonts w:ascii="Times New Roman" w:hAnsi="Times New Roman" w:cs="Times New Roman"/>
          <w:sz w:val="24"/>
          <w:szCs w:val="24"/>
        </w:rPr>
        <w:t xml:space="preserve">, заслуживают наибольшего внимания, однако научных работ, посвященных клиническому и лабораторному изучению данного вопроса, по-прежнему недостаточно [15, 6]. В настоящее время имеются данные о возможной провоцирующей роли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</w:rPr>
        <w:t xml:space="preserve">в развитии таких заболеваний, как саркоидоз, системная красная волчанка, ревматоидный артрит, первичный билиарный цирроз печени и многие другие [5, 13, 16].  </w:t>
      </w: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ab/>
        <w:t xml:space="preserve">Одним из возможных механизмов развития аутоиммунной реакции на фоне туберкулезной инфекции является молекулярная мимикрия. Важная роль отводится белкам теплового шока (БТШ,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heat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shock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protein</w:t>
      </w:r>
      <w:r w:rsidRPr="00B45D60">
        <w:rPr>
          <w:rFonts w:ascii="Times New Roman" w:hAnsi="Times New Roman" w:cs="Times New Roman"/>
          <w:sz w:val="24"/>
          <w:szCs w:val="24"/>
        </w:rPr>
        <w:t xml:space="preserve">,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HSP</w:t>
      </w:r>
      <w:r w:rsidRPr="00B45D60">
        <w:rPr>
          <w:rFonts w:ascii="Times New Roman" w:hAnsi="Times New Roman" w:cs="Times New Roman"/>
          <w:sz w:val="24"/>
          <w:szCs w:val="24"/>
        </w:rPr>
        <w:t xml:space="preserve">), в норме активирующимся при повышении температуры и других стрессовых воздействиях на клеточном уровне. БТШ существенно различаются у человека и микроорганизмов, что обеспечивает возможность возникновения перекрестной реактивности. Показано, что такие подтипы БТШ как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HSP</w:t>
      </w:r>
      <w:r w:rsidRPr="00B45D60">
        <w:rPr>
          <w:rFonts w:ascii="Times New Roman" w:hAnsi="Times New Roman" w:cs="Times New Roman"/>
          <w:sz w:val="24"/>
          <w:szCs w:val="24"/>
        </w:rPr>
        <w:t xml:space="preserve">65 и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HSP</w:t>
      </w:r>
      <w:r w:rsidRPr="00B45D60">
        <w:rPr>
          <w:rFonts w:ascii="Times New Roman" w:hAnsi="Times New Roman" w:cs="Times New Roman"/>
          <w:sz w:val="24"/>
          <w:szCs w:val="24"/>
        </w:rPr>
        <w:t xml:space="preserve">70 могут влиять на дифференцировку 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B45D60">
        <w:rPr>
          <w:rFonts w:ascii="Times New Roman" w:hAnsi="Times New Roman" w:cs="Times New Roman"/>
          <w:sz w:val="24"/>
          <w:szCs w:val="24"/>
        </w:rPr>
        <w:t xml:space="preserve">-хелперов 1 и 2 типа, способствуя экспрессии ко-стимулирующих молекул и молекул адгезии. Также нельзя исключить, что, при персистировании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B45D60">
        <w:rPr>
          <w:rFonts w:ascii="Times New Roman" w:hAnsi="Times New Roman" w:cs="Times New Roman"/>
          <w:sz w:val="24"/>
          <w:szCs w:val="24"/>
        </w:rPr>
        <w:t xml:space="preserve"> в организме человека, происходит значительное высвобождение провоспалительных цитокинов и более выраженная активация аутореактивных Т-клеток [3, 8].</w:t>
      </w: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ab/>
        <w:t xml:space="preserve">При туберкулезе нередко наблюдают у своих пациентов различные клинические симптомы, характерные для системных заболеваний [10]. К наиболее ярким примерам можно отнести ревматоид Понсе, реактивный неспецифический артрит, возникающий на фоне туберкулезной инфекции, при котором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45D60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</w:rPr>
        <w:t xml:space="preserve">не выявляется непосредственно в ткани суставов. Чаще всего для пациентов, страдающих ТБ, характерен моноартрит, однако в редких случаях также регистрируются различные формы полиартрита. Помимо этого, у пациентов с активным туберкулезным процессом может выявляться увеит и нодозная эритема, также являющиеся характерными признаками системных заболеваний [6, 8]. </w:t>
      </w:r>
    </w:p>
    <w:p w:rsidR="0053315E" w:rsidRPr="00B45D60" w:rsidRDefault="0053315E" w:rsidP="0053315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lastRenderedPageBreak/>
        <w:t>Клинические наблюдения подтверждаются при проведении лабораторной диагностики. Аутоантитела, характерные для гранулематоза с полиангиитом и системной красной волчанки, в ряде исследований встречались у 40% пациентов с ТБ [5]. В некоторых исследованиях указывают на  статистически значимое повышение концентраций в плазме крови антител к двуцепочечной ДНК (32% обследованных пациентов), антинуклеарных антител (38%), антител к рибонуклеопротеинам (15%), анти-</w:t>
      </w:r>
      <w:r w:rsidRPr="00B45D60">
        <w:rPr>
          <w:rFonts w:ascii="Times New Roman" w:hAnsi="Times New Roman" w:cs="Times New Roman"/>
          <w:sz w:val="24"/>
          <w:szCs w:val="24"/>
          <w:lang w:val="en-GB"/>
        </w:rPr>
        <w:t>SSA</w:t>
      </w:r>
      <w:r w:rsidRPr="00B45D60">
        <w:rPr>
          <w:rFonts w:ascii="Times New Roman" w:hAnsi="Times New Roman" w:cs="Times New Roman"/>
          <w:sz w:val="24"/>
          <w:szCs w:val="24"/>
        </w:rPr>
        <w:t xml:space="preserve"> (64%) и </w:t>
      </w:r>
      <w:r w:rsidRPr="00B4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анти-</w:t>
      </w:r>
      <w:r w:rsidRPr="00B4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ACA</w:t>
      </w:r>
      <w:r w:rsidRPr="00B4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B4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IgM</w:t>
      </w:r>
      <w:r w:rsidRPr="00B45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антител (59%)</w:t>
      </w:r>
      <w:r w:rsidRPr="00B45D60">
        <w:rPr>
          <w:rFonts w:ascii="Times New Roman" w:hAnsi="Times New Roman" w:cs="Times New Roman"/>
          <w:sz w:val="24"/>
          <w:szCs w:val="24"/>
        </w:rPr>
        <w:t xml:space="preserve"> у больных туберкулезом [7, 9]. В редких случаях регистрируются антитела к цитоплазме нейтрофилов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ANCA</w:t>
      </w:r>
      <w:r w:rsidRPr="00B45D60">
        <w:rPr>
          <w:rFonts w:ascii="Times New Roman" w:hAnsi="Times New Roman" w:cs="Times New Roman"/>
          <w:sz w:val="24"/>
          <w:szCs w:val="24"/>
        </w:rPr>
        <w:t>), антитела к бета-2-гликопротеиду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B45D60">
        <w:rPr>
          <w:rFonts w:ascii="Times New Roman" w:hAnsi="Times New Roman" w:cs="Times New Roman"/>
          <w:sz w:val="24"/>
          <w:szCs w:val="24"/>
        </w:rPr>
        <w:t xml:space="preserve">2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GPI</w:t>
      </w:r>
      <w:r w:rsidRPr="00B45D60">
        <w:rPr>
          <w:rFonts w:ascii="Times New Roman" w:hAnsi="Times New Roman" w:cs="Times New Roman"/>
          <w:sz w:val="24"/>
          <w:szCs w:val="24"/>
        </w:rPr>
        <w:t>) и антикардиолипиновые антитела, однако результаты научных работ, связанные с ними, противоречивы и требуют дальнейших исследований [6, 8].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 последние несколько лет внимание исследователей привлекал аутоантиген виментин, филаментный белок мезенхимальных клеток. Группа Кристиана Эберхардта в 2017 году продемонстрировала повышение выработки интерферона гамма (IFN-γ) и фактора некроза опухолей альфа (TNF-α) моноцитами после инкубации с виментином, а также с реагентом Квейма (обработанной тканью селезенки, пораженной саркоидными гранулемами) [11], что связано с генотипом HLA-DRB1 * 03 и предрасположенностью к выработке повышенного уровня антител к виментину [2].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Виментин - пептид, который присутствует в клетках соединительной ткани и участвует в межклеточных взаимодействиях и функционировании иммунной системы [4]. Возникновение аутоантител к данному белку описано в патогенезе ревматоидного артрита, системной красной волчанки и многих других заболеваний соединительной ткани [16].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 2007 году группа Wahlström описала возможные аутоантигены, связанные с молекулами HLA-DR в клетках бронхоальвеолярной жидкости у пациентов с саркоидозом [15]. Также был продемонстрирован выраженный ответ Т-клеток бронхоальвеолярной жидкости на виментин и цитрулинированного виментина у пациентов с генотипом HLA DR-B1*0301 и остро протекающим заболеванием [2].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 современной литературе недостаточно данных об аутоиммунных нарушениях у больных туберкулезом, что послужило причиной данного исследования - определение уровня аутоантител к различным модификациям виментина у пациентов с туберкулезом легких и с другими неспецифическими гранулематозными заболеваниями легких.</w:t>
      </w: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>Материалы исследования.</w:t>
      </w:r>
    </w:p>
    <w:p w:rsidR="0053315E" w:rsidRPr="00B45D60" w:rsidRDefault="0053315E" w:rsidP="0053315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Ретроспективно-проспективное сравнительное исследование было проведено за период с 2014 по 2017 года с набором пациентов на базе ФГБУ «Санкт-Петербургский НИИ </w:t>
      </w:r>
      <w:r w:rsidRPr="00B45D60">
        <w:rPr>
          <w:rFonts w:ascii="Times New Roman" w:hAnsi="Times New Roman" w:cs="Times New Roman"/>
          <w:sz w:val="24"/>
          <w:szCs w:val="24"/>
        </w:rPr>
        <w:lastRenderedPageBreak/>
        <w:t>фтизиопульмонологии» Минздрава РФ и СПб ГБУЗ «Городская многопрофильная больница №2». Лабораторная часть исследования проводилась в Лаборатории диагностики аутоиммунных заболеваний СПб ГМУ им. И.П. Павлова.</w:t>
      </w:r>
    </w:p>
    <w:p w:rsidR="0053315E" w:rsidRPr="00B45D60" w:rsidRDefault="0053315E" w:rsidP="0053315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Исследование одобрено независимым этическим комитетом ФГБУ «СПб НИИФ» Минздрава России (выписка из протокола №34.2 от 19.01.2017) и Локальным Этическим Комитетом 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Санкт-Петербургского Государственного Университета (протокол № 01-126 30.06.17). В</w:t>
      </w:r>
      <w:r w:rsidRPr="00B45D60">
        <w:rPr>
          <w:rFonts w:ascii="Times New Roman" w:hAnsi="Times New Roman" w:cs="Times New Roman"/>
          <w:sz w:val="24"/>
          <w:szCs w:val="24"/>
        </w:rPr>
        <w:t xml:space="preserve">се участники исследования подписали информированное согласие на обработку индивидуальных данных.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>Согласно дизайну исследования, было включено 28 пациентов с бактериологически верифицированным туберкулезом легких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</w:t>
      </w:r>
      <w:r w:rsidRPr="00B45D60">
        <w:rPr>
          <w:rFonts w:ascii="Times New Roman" w:hAnsi="Times New Roman" w:cs="Times New Roman"/>
          <w:sz w:val="24"/>
          <w:szCs w:val="24"/>
        </w:rPr>
        <w:t xml:space="preserve"> группа), 30 больных с аутоиммунными неспецифическими заболеваниями легких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Pr="00B45D60">
        <w:rPr>
          <w:rFonts w:ascii="Times New Roman" w:hAnsi="Times New Roman" w:cs="Times New Roman"/>
          <w:sz w:val="24"/>
          <w:szCs w:val="24"/>
        </w:rPr>
        <w:t xml:space="preserve"> группа) (15 с гранулематозным полиангиитом и 15 с аллергическими альвеолитами).</w:t>
      </w:r>
      <w:r w:rsidRPr="00B45D60">
        <w:rPr>
          <w:rFonts w:ascii="Times New Roman" w:hAnsi="Times New Roman" w:cs="Times New Roman"/>
          <w:sz w:val="28"/>
          <w:szCs w:val="28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</w:rPr>
        <w:t>Контрольная группа была представлена здоровыми добровольцами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45D60">
        <w:rPr>
          <w:rFonts w:ascii="Times New Roman" w:hAnsi="Times New Roman" w:cs="Times New Roman"/>
          <w:sz w:val="24"/>
          <w:szCs w:val="24"/>
        </w:rPr>
        <w:t xml:space="preserve">=40), которые не имели хронических заболеваний, в том числе, онкологических, контактов с больными туберкулезом; отмечалось отсутствие изменений по лабораторным показателям.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Группы были сопоставимы по полу и возрасту. Критериями исключения являлись: срок более 2 лет с выявления рентгенологических изменений в легких, прием иммуносупрессивной и противотуберкулезной терапии, проведение курса плазмафереза сроком менее 2 месяцев с момента включения, наличие ВИЧ-инфекции, сифилиса, опухолевых заболеваний, декомпенсированного сахарного диабета. </w:t>
      </w: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Все пациенты прошли комплекс обследования, включавший клиническую оценку заболевания, мультиспиральную компьютерную томографию (МСКТ) органов грудной клетки, лабораторные исследования крови, стандартный комплекс обследования на туберкулез, гистологическую верификацию изменений в легких и внутригрудных лимфатических узлах по показаниям (с применением чрезбронхиальной и видеоторакоскопической биопсии). </w:t>
      </w:r>
    </w:p>
    <w:p w:rsidR="0053315E" w:rsidRPr="00B45D60" w:rsidRDefault="0053315E" w:rsidP="0053315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>Диагноз «туберкулез легких» верифицировался на основании характерных рентгенологических изменений (лимфаденопатии средостения, очаговых и инфильтративных изменений с деструкцией или без нее); положительных результатов обследования на туберкулез (выявление в анализах мокроты</w:t>
      </w:r>
      <w:r w:rsidRPr="00B45D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>.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B45D60">
        <w:rPr>
          <w:rFonts w:ascii="Times New Roman" w:hAnsi="Times New Roman" w:cs="Times New Roman"/>
          <w:sz w:val="24"/>
          <w:szCs w:val="24"/>
        </w:rPr>
        <w:t xml:space="preserve">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MBT</w:t>
      </w:r>
      <w:r w:rsidRPr="00B45D60">
        <w:rPr>
          <w:rFonts w:ascii="Times New Roman" w:hAnsi="Times New Roman" w:cs="Times New Roman"/>
          <w:sz w:val="24"/>
          <w:szCs w:val="24"/>
        </w:rPr>
        <w:t xml:space="preserve">) и / или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MTB</w:t>
      </w:r>
      <w:r w:rsidRPr="00B45D60">
        <w:rPr>
          <w:rFonts w:ascii="Times New Roman" w:hAnsi="Times New Roman" w:cs="Times New Roman"/>
          <w:sz w:val="24"/>
          <w:szCs w:val="24"/>
        </w:rPr>
        <w:t xml:space="preserve"> ДНК по данным молекулярно-генетических и бактериологических методов) [1].</w:t>
      </w: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ab/>
        <w:t xml:space="preserve">В сыворотке всех включенных в исследование участников был </w:t>
      </w:r>
      <w:r w:rsidRPr="00B45D60">
        <w:rPr>
          <w:rFonts w:ascii="Times New Roman" w:hAnsi="Times New Roman" w:cs="Times New Roman"/>
          <w:sz w:val="24"/>
          <w:szCs w:val="24"/>
        </w:rPr>
        <w:t>определен уровень антител к модифицированному цитрулинированному виментину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modified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citrullinated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Vimentin</w:t>
      </w:r>
      <w:r w:rsidRPr="00B45D60">
        <w:rPr>
          <w:rFonts w:ascii="Times New Roman" w:hAnsi="Times New Roman" w:cs="Times New Roman"/>
          <w:sz w:val="24"/>
          <w:szCs w:val="24"/>
        </w:rPr>
        <w:t xml:space="preserve">,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B45D60">
        <w:rPr>
          <w:rFonts w:ascii="Times New Roman" w:hAnsi="Times New Roman" w:cs="Times New Roman"/>
          <w:sz w:val="24"/>
          <w:szCs w:val="24"/>
        </w:rPr>
        <w:t xml:space="preserve">). Сыворотка пациентов с повышенным уровнем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B45D60">
        <w:rPr>
          <w:rFonts w:ascii="Times New Roman" w:hAnsi="Times New Roman" w:cs="Times New Roman"/>
          <w:sz w:val="24"/>
          <w:szCs w:val="24"/>
        </w:rPr>
        <w:t xml:space="preserve"> была исследована на антитела к циклическому цитрулинированному пептиду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cyclic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citrullinated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peptide</w:t>
      </w:r>
      <w:r w:rsidRPr="00B45D60">
        <w:rPr>
          <w:rFonts w:ascii="Times New Roman" w:hAnsi="Times New Roman" w:cs="Times New Roman"/>
          <w:sz w:val="24"/>
          <w:szCs w:val="24"/>
        </w:rPr>
        <w:t xml:space="preserve">,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CCP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45D60">
        <w:rPr>
          <w:rFonts w:ascii="Times New Roman" w:hAnsi="Times New Roman" w:cs="Times New Roman"/>
          <w:sz w:val="24"/>
          <w:szCs w:val="24"/>
        </w:rPr>
        <w:t xml:space="preserve">Антитела к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B45D60">
        <w:rPr>
          <w:rFonts w:ascii="Times New Roman" w:hAnsi="Times New Roman" w:cs="Times New Roman"/>
          <w:sz w:val="24"/>
          <w:szCs w:val="24"/>
        </w:rPr>
        <w:t xml:space="preserve"> определялись с применением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ELISA</w:t>
      </w:r>
      <w:r w:rsidRPr="00B45D60">
        <w:rPr>
          <w:rFonts w:ascii="Times New Roman" w:hAnsi="Times New Roman" w:cs="Times New Roman"/>
          <w:sz w:val="24"/>
          <w:szCs w:val="24"/>
        </w:rPr>
        <w:t xml:space="preserve"> (ORGENTEC,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Germany</w:t>
      </w:r>
      <w:r w:rsidRPr="00B45D60">
        <w:rPr>
          <w:rFonts w:ascii="Times New Roman" w:hAnsi="Times New Roman" w:cs="Times New Roman"/>
          <w:sz w:val="24"/>
          <w:szCs w:val="24"/>
        </w:rPr>
        <w:t xml:space="preserve">), к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B45D60">
        <w:rPr>
          <w:rFonts w:ascii="Times New Roman" w:hAnsi="Times New Roman" w:cs="Times New Roman"/>
          <w:sz w:val="24"/>
          <w:szCs w:val="24"/>
        </w:rPr>
        <w:t xml:space="preserve"> - с применением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ELISA</w:t>
      </w:r>
      <w:r w:rsidRPr="00B45D60">
        <w:rPr>
          <w:rFonts w:ascii="Times New Roman" w:hAnsi="Times New Roman" w:cs="Times New Roman"/>
          <w:sz w:val="24"/>
          <w:szCs w:val="24"/>
        </w:rPr>
        <w:t xml:space="preserve">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EUROIMMUN</w:t>
      </w:r>
      <w:r w:rsidRPr="00B45D60">
        <w:rPr>
          <w:rFonts w:ascii="Times New Roman" w:hAnsi="Times New Roman" w:cs="Times New Roman"/>
          <w:sz w:val="24"/>
          <w:szCs w:val="24"/>
        </w:rPr>
        <w:t xml:space="preserve">,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Germany</w:t>
      </w:r>
      <w:r w:rsidRPr="00B45D60">
        <w:rPr>
          <w:rFonts w:ascii="Times New Roman" w:hAnsi="Times New Roman" w:cs="Times New Roman"/>
          <w:sz w:val="24"/>
          <w:szCs w:val="24"/>
        </w:rPr>
        <w:t xml:space="preserve">). Все измерения были выполнены с помощью планшетного ИФА спектрофотометра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TEK</w:t>
      </w:r>
      <w:r w:rsidRPr="00B45D60">
        <w:rPr>
          <w:rFonts w:ascii="Times New Roman" w:hAnsi="Times New Roman" w:cs="Times New Roman"/>
          <w:sz w:val="24"/>
          <w:szCs w:val="24"/>
        </w:rPr>
        <w:t xml:space="preserve">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ELx</w:t>
      </w:r>
      <w:r w:rsidRPr="00B45D60">
        <w:rPr>
          <w:rFonts w:ascii="Times New Roman" w:hAnsi="Times New Roman" w:cs="Times New Roman"/>
          <w:sz w:val="24"/>
          <w:szCs w:val="24"/>
        </w:rPr>
        <w:t>800. Положительным результатом является обнаружение уровня указанных антител более 19,5 Ед/мл.</w:t>
      </w:r>
    </w:p>
    <w:p w:rsidR="0053315E" w:rsidRPr="00B45D60" w:rsidRDefault="0053315E" w:rsidP="0053315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 xml:space="preserve">Статистические методы </w:t>
      </w:r>
    </w:p>
    <w:p w:rsidR="0053315E" w:rsidRPr="00B45D60" w:rsidRDefault="0053315E" w:rsidP="0053315E">
      <w:pPr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Статистический анализ полученных данных проводился с использованием 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GraphPad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Prism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6 с использованием теста Манна-Уитни для непараметрических выборок, п</w:t>
      </w:r>
      <w:r w:rsidRPr="00B45D60">
        <w:rPr>
          <w:rFonts w:ascii="Times New Roman" w:hAnsi="Times New Roman" w:cs="Times New Roman"/>
          <w:sz w:val="24"/>
          <w:szCs w:val="24"/>
        </w:rPr>
        <w:t>ри значениях переменных меньше 5 применяли точный тест Фишера. Количественные данные рассчитывались в виде М±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B45D60">
        <w:rPr>
          <w:rFonts w:ascii="Times New Roman" w:hAnsi="Times New Roman" w:cs="Times New Roman"/>
          <w:sz w:val="24"/>
          <w:szCs w:val="24"/>
        </w:rPr>
        <w:t xml:space="preserve">. Степени ассоциаций между пропорциями оценивались с помощью доверительных интервалов, а также критерия </w:t>
      </w:r>
      <w:bookmarkStart w:id="0" w:name="OLE_LINK3"/>
      <w:r w:rsidRPr="00B45D60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Pr="00B45D60">
        <w:rPr>
          <w:rFonts w:ascii="Times New Roman" w:hAnsi="Times New Roman" w:cs="Times New Roman"/>
          <w:sz w:val="24"/>
          <w:szCs w:val="24"/>
        </w:rPr>
        <w:t>2 с коррекцией Йейтса</w:t>
      </w:r>
      <w:bookmarkEnd w:id="0"/>
      <w:r w:rsidRPr="00B45D60">
        <w:rPr>
          <w:rFonts w:ascii="Times New Roman" w:hAnsi="Times New Roman" w:cs="Times New Roman"/>
          <w:sz w:val="24"/>
          <w:szCs w:val="24"/>
        </w:rPr>
        <w:t>.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Для определения взаимосвязи между признаками был использован корреляционный анализ Спирмана. </w:t>
      </w:r>
      <w:r w:rsidRPr="00B45D60">
        <w:rPr>
          <w:rFonts w:ascii="Times New Roman" w:hAnsi="Times New Roman" w:cs="Times New Roman"/>
          <w:sz w:val="24"/>
          <w:szCs w:val="24"/>
        </w:rPr>
        <w:t xml:space="preserve">Различия или показатели связи считались статистически </w:t>
      </w:r>
      <w:r w:rsidRPr="00B45D6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значимыми при уровне р менее 0.05.</w:t>
      </w:r>
    </w:p>
    <w:p w:rsidR="0053315E" w:rsidRPr="00B45D60" w:rsidRDefault="0053315E" w:rsidP="0053315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45D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 поддержана грантом Правительства РФ (договор № 14.W03.31.0009 от 13.02. 2017 г.) о выделении гранта для государственной поддержки научных исследований, проводимых под руководством ведущих ученых.</w:t>
      </w:r>
    </w:p>
    <w:p w:rsidR="0053315E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15E" w:rsidRPr="00B45D60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Результаты определения уровня anti-MCV и anti-CCP в сыворотке крови представлены в таблице 1.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>Согласно представленным в таблице 1 данным, у больных у больных туберкулезом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45D60">
        <w:rPr>
          <w:rFonts w:ascii="Times New Roman" w:hAnsi="Times New Roman" w:cs="Times New Roman"/>
          <w:sz w:val="24"/>
          <w:szCs w:val="24"/>
        </w:rPr>
        <w:t xml:space="preserve"> группа) был диагностирован в 60,7% (17/28), что достоверно чаще, чем в группе контроля (25.0%). У больных туберкулезом высокого уровня 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B45D60">
        <w:rPr>
          <w:rFonts w:ascii="Times New Roman" w:hAnsi="Times New Roman" w:cs="Times New Roman"/>
          <w:sz w:val="24"/>
          <w:szCs w:val="24"/>
        </w:rPr>
        <w:t>-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B45D60">
        <w:rPr>
          <w:rFonts w:ascii="Times New Roman" w:hAnsi="Times New Roman" w:cs="Times New Roman"/>
          <w:sz w:val="24"/>
          <w:szCs w:val="24"/>
        </w:rPr>
        <w:t xml:space="preserve"> не было выявлено ни у одного пациента.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lastRenderedPageBreak/>
        <w:t>Результаты сравнения уровня anti-MCV у пациентов с туберкулезом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</w:t>
      </w:r>
      <w:r w:rsidRPr="00B45D60">
        <w:rPr>
          <w:rFonts w:ascii="Times New Roman" w:hAnsi="Times New Roman" w:cs="Times New Roman"/>
          <w:sz w:val="24"/>
          <w:szCs w:val="24"/>
        </w:rPr>
        <w:t>), аутоиммунными неспецифическими заболеваниями легких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Pr="00B45D60">
        <w:rPr>
          <w:rFonts w:ascii="Times New Roman" w:hAnsi="Times New Roman" w:cs="Times New Roman"/>
          <w:sz w:val="24"/>
          <w:szCs w:val="24"/>
        </w:rPr>
        <w:t>) и контрольной группой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III</w:t>
      </w:r>
      <w:r w:rsidRPr="00B45D60">
        <w:rPr>
          <w:rFonts w:ascii="Times New Roman" w:hAnsi="Times New Roman" w:cs="Times New Roman"/>
          <w:sz w:val="24"/>
          <w:szCs w:val="24"/>
        </w:rPr>
        <w:t>) представлены на рисунке 1.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представлено на рисунке 1, п</w:t>
      </w:r>
      <w:r w:rsidRPr="00B45D60">
        <w:rPr>
          <w:rFonts w:ascii="Times New Roman" w:hAnsi="Times New Roman" w:cs="Times New Roman"/>
          <w:sz w:val="24"/>
          <w:szCs w:val="24"/>
        </w:rPr>
        <w:t>о уровню anti-MCV выявлены статистически значимые различия у больных туберкулезом и у здоровых лиц (p=0.0002), а также у больных туберкулезом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</w:t>
      </w:r>
      <w:r w:rsidRPr="00B45D60">
        <w:rPr>
          <w:rFonts w:ascii="Times New Roman" w:hAnsi="Times New Roman" w:cs="Times New Roman"/>
          <w:sz w:val="24"/>
          <w:szCs w:val="24"/>
        </w:rPr>
        <w:t>) и больными с неспецифическими аутоиммунными заболеваниями легких (</w:t>
      </w:r>
      <w:r w:rsidRPr="00B45D60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Pr="00B45D60">
        <w:rPr>
          <w:rFonts w:ascii="Times New Roman" w:hAnsi="Times New Roman" w:cs="Times New Roman"/>
          <w:sz w:val="24"/>
          <w:szCs w:val="24"/>
        </w:rPr>
        <w:t>) (p=0.0003). Статистически значимой разницы между результатами уровня anti-MVC во II группе и контрольной группе выявлено не было(p=0.17).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Pr="00B45D60">
        <w:rPr>
          <w:rFonts w:ascii="Times New Roman" w:hAnsi="Times New Roman" w:cs="Times New Roman"/>
          <w:sz w:val="24"/>
          <w:szCs w:val="24"/>
        </w:rPr>
        <w:t>2 приведены результаты расчета чувствительности и специфичности определения</w:t>
      </w:r>
      <w:r>
        <w:rPr>
          <w:rFonts w:ascii="Times New Roman" w:hAnsi="Times New Roman" w:cs="Times New Roman"/>
          <w:sz w:val="24"/>
          <w:szCs w:val="24"/>
        </w:rPr>
        <w:t xml:space="preserve"> anti-MCV в исследуемых группах. Из представленных в таблице 2 данных видно, что показатели диагностической значимости составляют 63,0 % и 73,0% соответственно для туберкулеза и 44,4% и 57,7% для аутоиммунных заболеваний лёгких.</w:t>
      </w:r>
    </w:p>
    <w:p w:rsidR="0053315E" w:rsidRPr="00B45D60" w:rsidRDefault="0053315E" w:rsidP="0053315E">
      <w:pPr>
        <w:spacing w:line="360" w:lineRule="auto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B45D6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Результаты и их обсуждение.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Согласно полученным в исследовании данным, получены статистически значимые результаты по высоким показателям уровня антител к anti-MCV у больных с туберкулезом по сравнению с контрольной группой (р=0.0002), что характерно для аутоиммунных процессов [6,13]. В тоже время не было выявлено повышения концентрации anti-CCP антител.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>Вероятно, причиной появления аутоантител может является молекулярная мимикрия, которая описана при хронической инфекции на фоне гиперреактивного иммунного ответа. Согласно литературным данным возможным аутоантигеном является виментин [6, 8], что было выявлено в нашем исследовании. В качестве микобактериальных антигенов, участвующих в перекрестной реакции, могут быть белки теплового шока Mtb-HsP60, Mtb-HsP65, каталаза (</w:t>
      </w:r>
      <w:r w:rsidRPr="00B45D60">
        <w:rPr>
          <w:rFonts w:ascii="Times New Roman" w:hAnsi="Times New Roman" w:cs="Times New Roman"/>
          <w:sz w:val="24"/>
          <w:szCs w:val="24"/>
          <w:lang w:val="en-US"/>
        </w:rPr>
        <w:t>mKatG</w:t>
      </w:r>
      <w:r w:rsidRPr="00B45D60">
        <w:rPr>
          <w:rFonts w:ascii="Times New Roman" w:hAnsi="Times New Roman" w:cs="Times New Roman"/>
          <w:sz w:val="24"/>
          <w:szCs w:val="24"/>
        </w:rPr>
        <w:t xml:space="preserve">) [13].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Наличие антител у больных туберкулезом может отражать </w:t>
      </w:r>
      <w:r w:rsidRPr="00DB21F0">
        <w:rPr>
          <w:rFonts w:ascii="Times New Roman" w:hAnsi="Times New Roman" w:cs="Times New Roman"/>
          <w:sz w:val="24"/>
          <w:szCs w:val="24"/>
        </w:rPr>
        <w:t>возможную перекрёстную реактивность</w:t>
      </w:r>
      <w:r w:rsidRPr="00B45D60">
        <w:rPr>
          <w:rFonts w:ascii="Times New Roman" w:hAnsi="Times New Roman" w:cs="Times New Roman"/>
          <w:sz w:val="24"/>
          <w:szCs w:val="24"/>
        </w:rPr>
        <w:t xml:space="preserve"> иммунной системы против виментина и пептидов 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>.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B45D60">
        <w:rPr>
          <w:rFonts w:ascii="Times New Roman" w:hAnsi="Times New Roman" w:cs="Times New Roman"/>
          <w:sz w:val="24"/>
          <w:szCs w:val="24"/>
        </w:rPr>
        <w:t xml:space="preserve">, что отмечалось во многих исследованиях по изучению роли микобактериальных антигенов при саркоидозе и возможной роли 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B45D60">
        <w:rPr>
          <w:rFonts w:ascii="Times New Roman" w:hAnsi="Times New Roman" w:cs="Times New Roman"/>
          <w:i/>
          <w:sz w:val="24"/>
          <w:szCs w:val="24"/>
        </w:rPr>
        <w:t>.</w:t>
      </w:r>
      <w:r w:rsidRPr="00B45D60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B45D60">
        <w:rPr>
          <w:rFonts w:ascii="Times New Roman" w:hAnsi="Times New Roman" w:cs="Times New Roman"/>
          <w:sz w:val="24"/>
          <w:szCs w:val="24"/>
        </w:rPr>
        <w:t xml:space="preserve"> в качестве триггерного фактора [5, 12, 13].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Полученные данные позволяют предположить, что цитруллинирование виментина не играет важной роли в формировании иммунного ответа против этого белка, что также не </w:t>
      </w:r>
      <w:r w:rsidRPr="00B45D60">
        <w:rPr>
          <w:rFonts w:ascii="Times New Roman" w:hAnsi="Times New Roman" w:cs="Times New Roman"/>
          <w:sz w:val="24"/>
          <w:szCs w:val="24"/>
        </w:rPr>
        <w:lastRenderedPageBreak/>
        <w:t xml:space="preserve">может служить значимым диагностическим критерием. Диагностическая чувствительность и специфичность данных показателей для туберкулеза </w:t>
      </w:r>
      <w:r>
        <w:rPr>
          <w:rFonts w:ascii="Times New Roman" w:hAnsi="Times New Roman" w:cs="Times New Roman"/>
          <w:sz w:val="24"/>
          <w:szCs w:val="24"/>
        </w:rPr>
        <w:t>низкая</w:t>
      </w:r>
      <w:r w:rsidRPr="00B45D60">
        <w:rPr>
          <w:rFonts w:ascii="Times New Roman" w:hAnsi="Times New Roman" w:cs="Times New Roman"/>
          <w:sz w:val="24"/>
          <w:szCs w:val="24"/>
        </w:rPr>
        <w:t>.  Однако выявление аутоиммунного компонента является значимым для ведения больных с туберкулезом для коррекции лечения и назначения гормональной терапии.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60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 данном исследовании впервые были получены данные о концентрации в плазме крови аутоантител к виментину у </w:t>
      </w:r>
      <w:r>
        <w:rPr>
          <w:rFonts w:ascii="Times New Roman" w:hAnsi="Times New Roman" w:cs="Times New Roman"/>
          <w:sz w:val="24"/>
          <w:szCs w:val="24"/>
        </w:rPr>
        <w:t xml:space="preserve">больных </w:t>
      </w:r>
      <w:r w:rsidRPr="00B45D60">
        <w:rPr>
          <w:rFonts w:ascii="Times New Roman" w:hAnsi="Times New Roman" w:cs="Times New Roman"/>
          <w:sz w:val="24"/>
          <w:szCs w:val="24"/>
        </w:rPr>
        <w:t xml:space="preserve">туберкулезом легких. 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>Антитела к модифицированному цитруллинированному виментину были обнаружены во всех исследованных группах, но для туберкулеза этот маркер имел большее значение, чем для других заболеваний легких. При этом, выявление анти-MCV антител не может служить диагностическим критерием для туберкулеза, так как они связаны с фундаментальными аспектами патогенеза данного заболевания. Однако наличие аутоиммунного компонента является значимым для коррекции терапии данных пациентов и повышение уровня анти-MCV антител может служить маркером для назначения иммуносупрессивной и гормональной терапии.</w:t>
      </w:r>
    </w:p>
    <w:p w:rsidR="0053315E" w:rsidRPr="00B45D60" w:rsidRDefault="0053315E" w:rsidP="0053315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D60">
        <w:rPr>
          <w:rFonts w:ascii="Times New Roman" w:hAnsi="Times New Roman" w:cs="Times New Roman"/>
          <w:sz w:val="24"/>
          <w:szCs w:val="24"/>
        </w:rPr>
        <w:t xml:space="preserve">Впервые было показано, что антитела к цитруллинированным циклическим пептидам не значимы в патогенезе туберкулеза и других исследуемых заболеваний легких (гранулематоз с полиангиитом, альвеолиты). Отсутствие анти-CCP позволяет предположить, что цитруллинирование виментина не является ключевым фактором в формировании аутоиммунного ответа к данному пептиду. </w:t>
      </w:r>
    </w:p>
    <w:p w:rsidR="0053315E" w:rsidRDefault="0053315E" w:rsidP="0053315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58C" w:rsidRDefault="0073158C">
      <w:bookmarkStart w:id="1" w:name="_GoBack"/>
      <w:bookmarkEnd w:id="1"/>
    </w:p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05D"/>
    <w:rsid w:val="0053315E"/>
    <w:rsid w:val="006C105D"/>
    <w:rsid w:val="0073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DACAA-92AE-4C3C-BB20-766D6B09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1851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2019-02-13T22:36:00Z</dcterms:created>
  <dcterms:modified xsi:type="dcterms:W3CDTF">2019-02-13T22:36:00Z</dcterms:modified>
</cp:coreProperties>
</file>