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35" w:rsidRPr="00B25953" w:rsidRDefault="00B2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496"/>
        <w:gridCol w:w="7154"/>
        <w:gridCol w:w="2835"/>
        <w:gridCol w:w="4252"/>
      </w:tblGrid>
      <w:tr w:rsidR="0080488A" w:rsidRPr="00692D3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60">
              <w:rPr>
                <w:rFonts w:ascii="Times New Roman" w:hAnsi="Times New Roman" w:cs="Times New Roman"/>
                <w:sz w:val="28"/>
                <w:szCs w:val="28"/>
              </w:rPr>
              <w:t>Кравченко П.Н., Олейник Е.К. Система регуляторных Т-клеток и аутоиммунные процессы // Труды Карельского научного центра РАН. – 2013. – №3. – С.18-30.</w:t>
            </w:r>
          </w:p>
        </w:tc>
        <w:tc>
          <w:tcPr>
            <w:tcW w:w="2835" w:type="dxa"/>
          </w:tcPr>
          <w:p w:rsidR="00B25953" w:rsidRPr="00B25953" w:rsidRDefault="00B25953" w:rsidP="00B259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5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P. N. Kravchenko, E. K. </w:t>
            </w:r>
            <w:proofErr w:type="spellStart"/>
            <w:r w:rsidRPr="00B25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Oleinik</w:t>
            </w:r>
            <w:proofErr w:type="spellEnd"/>
            <w:r w:rsidRPr="00B25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The system of regulatory T cells</w:t>
            </w:r>
          </w:p>
          <w:p w:rsidR="0080488A" w:rsidRPr="00B25953" w:rsidRDefault="00B25953" w:rsidP="00B259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5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autoimmunity. </w:t>
            </w:r>
            <w:r w:rsidRPr="00B2595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Transactions of Karelian Research Centre of the Russian Academy of Sciences, </w:t>
            </w:r>
            <w:r w:rsidRPr="00B25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B259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no.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B2595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3, pp.18-30.</w:t>
            </w:r>
          </w:p>
        </w:tc>
        <w:tc>
          <w:tcPr>
            <w:tcW w:w="4252" w:type="dxa"/>
          </w:tcPr>
          <w:p w:rsidR="0080488A" w:rsidRPr="00692D3A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2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http://resources.krc.karelia.ru/transactions/doc/trudy2013/trudy_2013_3_018-30.pdf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Angele M.K., Frantz M.C., Chaudry I.H. Gender and sex hormones influence the response to trauma and sepsis: potential therapeutic approahes.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Clinics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, 2006,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V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ol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61,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no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5,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pp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. 479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-</w:t>
            </w:r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488.</w:t>
            </w:r>
          </w:p>
        </w:tc>
        <w:tc>
          <w:tcPr>
            <w:tcW w:w="2835" w:type="dxa"/>
          </w:tcPr>
          <w:p w:rsidR="0080488A" w:rsidRPr="00455DE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DEA">
              <w:rPr>
                <w:rFonts w:ascii="Times New Roman" w:hAnsi="Times New Roman" w:cs="Times New Roman"/>
                <w:sz w:val="28"/>
                <w:szCs w:val="28"/>
              </w:rPr>
              <w:t>http://www.scielo.br/scielo.php?script=sci_arttext&amp;pid=S1807-59322006000500017&amp;lng=en&amp;nrm=iso&amp;tlng=en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Bouman A., Heineman M.J., Faas M.M. Sex hormones and the immune response in humans. 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Hum Reprod Update, 2005, Vol. 11, no. 4, pp. 411-423.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</w:rPr>
              <w:t>https://academic.oup.com/humupd/article/11/4/411/874969</w:t>
            </w:r>
          </w:p>
        </w:tc>
      </w:tr>
      <w:tr w:rsidR="0080488A" w:rsidRPr="00692D3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4" w:type="dxa"/>
          </w:tcPr>
          <w:p w:rsidR="0080488A" w:rsidRPr="004E3635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Fish, E.N. The X-files in immunity: sex-based differences predispose immune responses. </w:t>
            </w:r>
            <w:r w:rsidRPr="004E363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Nat. Rev. Immunol, 2008,</w:t>
            </w:r>
            <w:r w:rsidRPr="004E3635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Vol. </w:t>
            </w:r>
            <w:r w:rsidRPr="004E363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8, no. 9, pp</w:t>
            </w:r>
            <w:r w:rsidRPr="004E3635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. </w:t>
            </w:r>
            <w:r w:rsidRPr="004E363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737</w:t>
            </w:r>
            <w:r w:rsidRPr="004E3635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-7</w:t>
            </w:r>
            <w:r w:rsidRPr="004E363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44.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Pr="004E3635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https://www.nature.com/articles/nri2394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4" w:type="dxa"/>
          </w:tcPr>
          <w:p w:rsidR="0080488A" w:rsidRPr="00692D3A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Frisullo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Nociti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Iorio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Patanella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A.K.</w:t>
            </w:r>
            <w:r w:rsidR="00692D3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692D3A" w:rsidRPr="00692D3A">
              <w:rPr>
                <w:rFonts w:ascii="Times New Roman" w:hAnsi="Times New Roman"/>
                <w:sz w:val="28"/>
                <w:szCs w:val="28"/>
                <w:lang w:val="en-US"/>
              </w:rPr>
              <w:t>Caggiula</w:t>
            </w:r>
            <w:r w:rsidR="00692D3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</w:t>
            </w:r>
            <w:r w:rsidR="00692D3A" w:rsidRPr="00692D3A">
              <w:rPr>
                <w:rFonts w:ascii="Times New Roman" w:hAnsi="Times New Roman"/>
                <w:sz w:val="28"/>
                <w:szCs w:val="28"/>
                <w:lang w:val="en-US"/>
              </w:rPr>
              <w:t>, Marti</w:t>
            </w:r>
            <w:r w:rsidR="00692D3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</w:t>
            </w:r>
            <w:r w:rsidR="00692D3A" w:rsidRPr="00692D3A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692D3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92D3A" w:rsidRPr="00692D3A">
              <w:rPr>
                <w:rFonts w:ascii="Times New Roman" w:hAnsi="Times New Roman"/>
                <w:sz w:val="28"/>
                <w:szCs w:val="28"/>
                <w:lang w:val="en-US"/>
              </w:rPr>
              <w:t>Sancricca</w:t>
            </w:r>
            <w:proofErr w:type="spellEnd"/>
            <w:r w:rsidR="00692D3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C.</w:t>
            </w:r>
            <w:r w:rsidR="00692D3A" w:rsidRPr="00692D3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92D3A" w:rsidRPr="00692D3A">
              <w:rPr>
                <w:rFonts w:ascii="Times New Roman" w:hAnsi="Times New Roman"/>
                <w:sz w:val="28"/>
                <w:szCs w:val="28"/>
                <w:lang w:val="en-US"/>
              </w:rPr>
              <w:t>Angelucci</w:t>
            </w:r>
            <w:proofErr w:type="spellEnd"/>
            <w:r w:rsidR="00692D3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F.</w:t>
            </w:r>
            <w:r w:rsidR="00692D3A" w:rsidRPr="00692D3A">
              <w:rPr>
                <w:rFonts w:ascii="Times New Roman" w:hAnsi="Times New Roman"/>
                <w:sz w:val="28"/>
                <w:szCs w:val="28"/>
                <w:lang w:val="en-US"/>
              </w:rPr>
              <w:t>, Mirabella</w:t>
            </w:r>
            <w:r w:rsidR="00692D3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</w:t>
            </w:r>
            <w:r w:rsidR="00692D3A" w:rsidRPr="00692D3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92D3A" w:rsidRPr="00692D3A">
              <w:rPr>
                <w:rFonts w:ascii="Times New Roman" w:hAnsi="Times New Roman"/>
                <w:sz w:val="28"/>
                <w:szCs w:val="28"/>
                <w:lang w:val="en-US"/>
              </w:rPr>
              <w:t>Tonali</w:t>
            </w:r>
            <w:proofErr w:type="spellEnd"/>
            <w:r w:rsidR="00692D3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P.A.</w:t>
            </w:r>
            <w:r w:rsidR="00692D3A" w:rsidRPr="00692D3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92D3A" w:rsidRPr="00692D3A">
              <w:rPr>
                <w:rFonts w:ascii="Times New Roman" w:hAnsi="Times New Roman"/>
                <w:sz w:val="28"/>
                <w:szCs w:val="28"/>
                <w:lang w:val="en-US"/>
              </w:rPr>
              <w:t>Batocchi</w:t>
            </w:r>
            <w:proofErr w:type="spellEnd"/>
            <w:r w:rsidR="00692D3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A.P. </w:t>
            </w:r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Regulatory T cells fail to suppress CD4T+-bet+ T cells in relapsing multiple sclerosis patients</w:t>
            </w:r>
            <w:r w:rsidRPr="004E363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. </w:t>
            </w:r>
            <w:r w:rsidRPr="00692D3A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Immunology, 2009, no. 127, pp. 418-428.</w:t>
            </w:r>
          </w:p>
        </w:tc>
        <w:tc>
          <w:tcPr>
            <w:tcW w:w="2835" w:type="dxa"/>
          </w:tcPr>
          <w:p w:rsidR="0080488A" w:rsidRPr="00692D3A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</w:rPr>
              <w:t>https://www.ncbi.nlm.nih.gov/pmc/articles/PMC2712110/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>Giefing-Kröll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C., Berger P.,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>Lepperdinger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G.,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>Grubeck-Loebenstein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B.</w:t>
            </w: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How sex and age affect immune responses, </w:t>
            </w:r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lastRenderedPageBreak/>
              <w:t>susceptibility to infections, and response to</w:t>
            </w: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vaccination. 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Aging Cell, 2015, Vol. </w:t>
            </w:r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14,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no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3,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pp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 309–321.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</w:rPr>
              <w:t>https://www.ncbi.nlm.nih.gov/pmc/articles/PMC4406660/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Glickman R.M. Inflammatory bowel disease: ulcerative colitis and Crohn’s disease. In: Wilson J.D.,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Braunwald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Isselbacher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K.J. Harrison’s principles of internal medicine. </w:t>
            </w:r>
            <w:proofErr w:type="spellStart"/>
            <w:r w:rsidRPr="007E6F60">
              <w:rPr>
                <w:rFonts w:ascii="Times New Roman" w:hAnsi="Times New Roman"/>
                <w:sz w:val="28"/>
                <w:szCs w:val="28"/>
              </w:rPr>
              <w:t>New</w:t>
            </w:r>
            <w:proofErr w:type="spellEnd"/>
            <w:r w:rsidRPr="007E6F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6F60">
              <w:rPr>
                <w:rFonts w:ascii="Times New Roman" w:hAnsi="Times New Roman"/>
                <w:sz w:val="28"/>
                <w:szCs w:val="28"/>
              </w:rPr>
              <w:t>York</w:t>
            </w:r>
            <w:proofErr w:type="spellEnd"/>
            <w:r w:rsidRPr="007E6F60">
              <w:rPr>
                <w:rFonts w:ascii="Times New Roman" w:hAnsi="Times New Roman"/>
                <w:sz w:val="28"/>
                <w:szCs w:val="28"/>
              </w:rPr>
              <w:t xml:space="preserve">, NY: </w:t>
            </w:r>
            <w:proofErr w:type="spellStart"/>
            <w:r w:rsidRPr="007E6F60">
              <w:rPr>
                <w:rFonts w:ascii="Times New Roman" w:hAnsi="Times New Roman"/>
                <w:sz w:val="28"/>
                <w:szCs w:val="28"/>
              </w:rPr>
              <w:t>McGraw-Hill</w:t>
            </w:r>
            <w:proofErr w:type="spellEnd"/>
            <w:r w:rsidRPr="007E6F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E6F60">
              <w:rPr>
                <w:rFonts w:ascii="Times New Roman" w:hAnsi="Times New Roman"/>
                <w:sz w:val="28"/>
                <w:szCs w:val="28"/>
              </w:rPr>
              <w:t>Inc</w:t>
            </w:r>
            <w:proofErr w:type="spellEnd"/>
            <w:r w:rsidRPr="007E6F60">
              <w:rPr>
                <w:rFonts w:ascii="Times New Roman" w:hAnsi="Times New Roman"/>
                <w:sz w:val="28"/>
                <w:szCs w:val="28"/>
              </w:rPr>
              <w:t xml:space="preserve">, 1991, </w:t>
            </w:r>
            <w:proofErr w:type="spellStart"/>
            <w:r w:rsidRPr="007E6F60">
              <w:rPr>
                <w:rFonts w:ascii="Times New Roman" w:hAnsi="Times New Roman"/>
                <w:sz w:val="28"/>
                <w:szCs w:val="28"/>
              </w:rPr>
              <w:t>pp</w:t>
            </w:r>
            <w:proofErr w:type="spellEnd"/>
            <w:r w:rsidRPr="007E6F60">
              <w:rPr>
                <w:rFonts w:ascii="Times New Roman" w:hAnsi="Times New Roman"/>
                <w:sz w:val="28"/>
                <w:szCs w:val="28"/>
              </w:rPr>
              <w:t>. 1268-1281.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</w:rPr>
              <w:t>http://www.scielo.br/scielo.php?script=sci_nlinks&amp;ref=000116&amp;pid=S0103-2100200800040001500002&amp;lng=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Kim I.K., Park K.J., Kang G.H., Im J.P., Kim S.G., Jung H.C., Song I.S., Kim J.S. Risk factors for complications after total colectomy in ulcerative colitis. </w:t>
            </w:r>
            <w:hyperlink r:id="rId5" w:tooltip="The Turkish journal of gastroenterology : the official journal of Turkish Society of Gastroenterology." w:history="1">
              <w:r w:rsidRPr="007E6F60">
                <w:rPr>
                  <w:rFonts w:ascii="Times New Roman" w:hAnsi="Times New Roman"/>
                  <w:i/>
                  <w:noProof/>
                  <w:sz w:val="28"/>
                  <w:szCs w:val="28"/>
                </w:rPr>
                <w:t>Turk J.Gastroenterol</w:t>
              </w:r>
            </w:hyperlink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, 2012, Vol. 23, no. 5, pp</w:t>
            </w:r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515-522.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</w:rPr>
              <w:t>http://www.turkjgastroenterol.org/eng/makale/2897/207/Full-Text</w:t>
            </w:r>
          </w:p>
        </w:tc>
      </w:tr>
      <w:tr w:rsidR="0080488A" w:rsidRPr="00692D3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54" w:type="dxa"/>
          </w:tcPr>
          <w:p w:rsidR="0080488A" w:rsidRPr="004E3635" w:rsidRDefault="0080488A" w:rsidP="004E363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Kissick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H.T., Sanda M.G., Dunn L.K., Pellegrini K.L.</w:t>
            </w:r>
            <w:r w:rsidR="00692D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On</w:t>
            </w:r>
            <w:r w:rsidR="00692D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S.T.</w:t>
            </w:r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</w:t>
            </w:r>
            <w:r w:rsidR="00692D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Noel</w:t>
            </w:r>
            <w:r w:rsidR="00692D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J.K.</w:t>
            </w:r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</w:t>
            </w:r>
            <w:r w:rsidR="00692D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Arredouani</w:t>
            </w:r>
            <w:proofErr w:type="spellEnd"/>
            <w:r w:rsidR="00692D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M.S</w:t>
            </w:r>
            <w:r w:rsidRPr="00692D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Androgens alter T-cell immunity by inhibiting T-helper 1 differentiation. </w:t>
            </w:r>
            <w:r w:rsidRPr="007E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Proc. Natl. Acad. Sci. USA, 2014, Vol. 111, no. 27, pp. 9887-9892.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https://www.ncbi.nlm.nih.gov/pmc/articles/PMC4103356/</w:t>
            </w:r>
          </w:p>
        </w:tc>
      </w:tr>
      <w:tr w:rsidR="0080488A" w:rsidRPr="00692D3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4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Knöferl M.W., Angele M.K., Schwacha M.G., Bland K., Chaudry I.H. Preservation of splenic immu</w:t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n</w:t>
            </w: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e functions by female sex hormones after trauma-hemorrhage.</w:t>
            </w:r>
            <w:r w:rsidRPr="004E3635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  <w:r w:rsidRPr="00353B80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Crit. Care. Med., 2002, Vol. 30, pp. 888-893.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https://insights.ovid.com/pubmed?pmid=11940764</w:t>
            </w:r>
          </w:p>
        </w:tc>
      </w:tr>
      <w:tr w:rsidR="0080488A" w:rsidRPr="00692D3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4" w:type="dxa"/>
          </w:tcPr>
          <w:p w:rsidR="0080488A" w:rsidRPr="0080488A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Kryczek</w:t>
            </w:r>
            <w:proofErr w:type="spellEnd"/>
            <w:r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Wu</w:t>
            </w:r>
            <w:r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Zhao</w:t>
            </w:r>
            <w:r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</w:t>
            </w:r>
            <w:r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2D3A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Vatan</w:t>
            </w:r>
            <w:proofErr w:type="spellEnd"/>
            <w:r w:rsidR="00131F7C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131F7C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2D3A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Szeliga</w:t>
            </w:r>
            <w:r w:rsid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</w:t>
            </w:r>
            <w:r w:rsidR="00692D3A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Huang</w:t>
            </w:r>
            <w:r w:rsid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</w:t>
            </w:r>
            <w:r w:rsidR="00692D3A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Greenson</w:t>
            </w:r>
            <w:proofErr w:type="spellEnd"/>
            <w:r w:rsid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</w:t>
            </w:r>
            <w:r w:rsidR="00692D3A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Chang</w:t>
            </w:r>
            <w:r w:rsid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</w:t>
            </w:r>
            <w:r w:rsidR="00692D3A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Roli</w:t>
            </w:r>
            <w:r w:rsidR="00692D3A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ń</w:t>
            </w:r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</w:t>
            </w:r>
            <w:proofErr w:type="spellEnd"/>
            <w:r w:rsidR="00405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</w:t>
            </w:r>
            <w:r w:rsidR="00692D3A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Radwan</w:t>
            </w:r>
            <w:r w:rsidR="00405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</w:t>
            </w:r>
            <w:r w:rsidR="00692D3A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Fang</w:t>
            </w:r>
            <w:r w:rsidR="00405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</w:t>
            </w:r>
            <w:r w:rsidR="00692D3A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Wang</w:t>
            </w:r>
            <w:r w:rsidR="00405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G.,</w:t>
            </w:r>
            <w:r w:rsidR="00692D3A"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92D3A" w:rsidRPr="00692D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Zou</w:t>
            </w:r>
            <w:r w:rsidR="00405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</w:t>
            </w:r>
            <w:r w:rsidRPr="00405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131F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IL-17+ regulatory T cells in the microenvironments of chronic inflammation and cancer. </w:t>
            </w:r>
            <w:r w:rsidRPr="00804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J. Immunol, 2011, no 186, pp. 4388-4395.</w:t>
            </w:r>
          </w:p>
        </w:tc>
        <w:tc>
          <w:tcPr>
            <w:tcW w:w="2835" w:type="dxa"/>
          </w:tcPr>
          <w:p w:rsidR="0080488A" w:rsidRPr="0080488A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Pr="0080488A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4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http://www.jimmunol.org/content/186/7/4388.long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Latham K.A., Zamora A., Drought H., Subramanian S., Matejuk A., Offner H., Rosloniec E.F. Estradiol treatment redirects the isotype of the autoandibody response and prevents the development of autoimmune arthritis. 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J Immunol., 2003, Vol. 171, pp. 5820-5827.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</w:rPr>
              <w:t>https://pdfs.semanticscholar.org/e072/2a8f69333c6767b74b27ec1bdb36b2aaedab.pdf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Levings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M.K.,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Bacchetta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R., Schulz U.,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Roncarolo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M.G. The role of IL-10 and TGF-beta in the differentiation and effector function of T regulatory cells.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Int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Arch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Allergy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Immunol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, 2002,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no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129,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pp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. 263-276.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</w:rPr>
              <w:t>https://www.karger.com/Article/Abstract/67596</w:t>
            </w:r>
          </w:p>
        </w:tc>
      </w:tr>
      <w:tr w:rsidR="0080488A" w:rsidRPr="00692D3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54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Maul J., </w:t>
            </w: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Loddenkemper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C., Mundt P., Berg E. </w:t>
            </w:r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Giese T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 Stallmach A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 Zeitz M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Duchmann</w:t>
            </w:r>
            <w:proofErr w:type="spellEnd"/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R.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Peripheral and intestinal regulatory CD4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CD25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(high)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 cells in inflammatory bowel disease.</w:t>
            </w:r>
            <w:r w:rsidRPr="007E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Gastroenterology, 2005, no. 128, pp. 1868-1878.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https://www.gastrojournal.org/article/S0016-5085(05)00566-4/fulltext?referrer=https%3A%2F%2Fwww.ncbi.nlm.nih.gov%2F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Mullen A.C., High F.A., Hutchins A.S., Lee H.W., Villarino A.V., Livingston D.M., Kung A.L., Cereb N., Yao T.P., Yang S.Y., Reiner S.L. Role of T-bet in commitment of Th1 cells before IL-12-dependent selection. 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Science, 2001, Vol. 292, pp. 1907-1910.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</w:rPr>
              <w:t>http://science.sciencemag.org/content/292/5523/1907.long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Pedros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Duguet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Saoudi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Chabod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Disrupted regulatory T cell homeostasis in inflammatory bowel diseases. </w:t>
            </w:r>
            <w:r w:rsidRPr="007E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World J. Gastroenterol, 2016, Vol. 22, no. 3, pp. 974-995.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</w:rPr>
              <w:t>https://www.ncbi.nlm.nih.gov/pmc/articles/PMC4716049/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Powrie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 Immune regulation in the intestine: a balancing act between effector and regulatory T cell responses. </w:t>
            </w: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>Ann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 xml:space="preserve"> N Y </w:t>
            </w: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>Acad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>Sci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 xml:space="preserve">, 2004, </w:t>
            </w: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 xml:space="preserve">. 1029, </w:t>
            </w: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>. 132–141.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</w:rPr>
              <w:t>https://nyaspubs.onlinelibrary.wiley.com/doi/abs/10.1196/annals.1309.030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Roberts C.W., Walker W., Alexander J. Sex-associated hormones and immunity to protozoan parasites.</w:t>
            </w:r>
            <w:r w:rsidRPr="004E3635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Rev. </w:t>
            </w:r>
            <w:hyperlink r:id="rId6" w:tooltip="Medical economics." w:history="1">
              <w:r w:rsidRPr="007E6F60">
                <w:rPr>
                  <w:rFonts w:ascii="Times New Roman" w:hAnsi="Times New Roman"/>
                  <w:i/>
                  <w:noProof/>
                  <w:sz w:val="28"/>
                  <w:szCs w:val="28"/>
                </w:rPr>
                <w:t>Clin</w:t>
              </w:r>
            </w:hyperlink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. Microbiol, 2010, Vol. 14, pp. 476-488.</w:t>
            </w:r>
          </w:p>
        </w:tc>
        <w:tc>
          <w:tcPr>
            <w:tcW w:w="2835" w:type="dxa"/>
          </w:tcPr>
          <w:p w:rsidR="0080488A" w:rsidRPr="000037FC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7FC">
              <w:rPr>
                <w:rFonts w:ascii="Times New Roman" w:hAnsi="Times New Roman" w:cs="Times New Roman"/>
                <w:sz w:val="28"/>
                <w:szCs w:val="28"/>
              </w:rPr>
              <w:t>https://www.ncbi.nlm.nih.gov/pmc/articles/PMC88985/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54" w:type="dxa"/>
          </w:tcPr>
          <w:p w:rsidR="0080488A" w:rsidRPr="00B038B6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Suen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Jong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Chiang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J.H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Altered homeostasis of CD4(+) FoxP3(+) regulatory T-cell subpopulations in systemic lupus erythematosus. </w:t>
            </w:r>
            <w:r w:rsidRPr="007E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Immunology, 2009, no. 127, pp. 196-205.</w:t>
            </w:r>
          </w:p>
        </w:tc>
        <w:tc>
          <w:tcPr>
            <w:tcW w:w="2835" w:type="dxa"/>
          </w:tcPr>
          <w:p w:rsidR="0080488A" w:rsidRPr="00B038B6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7FC">
              <w:rPr>
                <w:rFonts w:ascii="Times New Roman" w:hAnsi="Times New Roman" w:cs="Times New Roman"/>
                <w:sz w:val="28"/>
                <w:szCs w:val="28"/>
              </w:rPr>
              <w:t>https://www.ncbi.nlm.nih.gov/pmc/articles/PMC2691785/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7154" w:type="dxa"/>
          </w:tcPr>
          <w:p w:rsidR="0080488A" w:rsidRPr="00B038B6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Walecki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M., </w:t>
            </w: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Eisel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F., Klug J., Baal 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N.</w:t>
            </w:r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Paradowska</w:t>
            </w:r>
            <w:proofErr w:type="spellEnd"/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-Dogan</w:t>
            </w:r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A.</w:t>
            </w:r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Wahle</w:t>
            </w:r>
            <w:proofErr w:type="spellEnd"/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E.</w:t>
            </w:r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 Hackstein</w:t>
            </w:r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H.</w:t>
            </w:r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 Meinhardt</w:t>
            </w:r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A.</w:t>
            </w:r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Fijak</w:t>
            </w:r>
            <w:proofErr w:type="spellEnd"/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M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Androgen receptor modulates Foxp3 expression in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CD4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CD25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Foxp3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regulatory T-cells. </w:t>
            </w:r>
            <w:r w:rsidRPr="007E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Mol. Biol. Cell, 2015, Vol 26, no. 15, pp. 2845-2857.</w:t>
            </w:r>
          </w:p>
        </w:tc>
        <w:tc>
          <w:tcPr>
            <w:tcW w:w="2835" w:type="dxa"/>
          </w:tcPr>
          <w:p w:rsidR="0080488A" w:rsidRPr="00B038B6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A0D">
              <w:rPr>
                <w:rFonts w:ascii="Times New Roman" w:hAnsi="Times New Roman" w:cs="Times New Roman"/>
                <w:sz w:val="28"/>
                <w:szCs w:val="28"/>
              </w:rPr>
              <w:t>https://www.molbiolcell.org/doi/full/10.1091/mbc.E14-08-1323?url_ver=Z39.88-2003&amp;rfr_id=ori%3Arid%3Acrossref.org&amp;rfr_dat=cr_pub%3Dpubmed&amp;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54" w:type="dxa"/>
          </w:tcPr>
          <w:p w:rsidR="0080488A" w:rsidRPr="00B038B6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Wang Y., Liu X.P., Zhao Z.B., Chen J.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H.</w:t>
            </w:r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Yu</w:t>
            </w:r>
            <w:proofErr w:type="spellEnd"/>
            <w:r w:rsidR="00B038B6"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C.G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. 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Expression of CD4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forkhead</w:t>
            </w:r>
            <w:proofErr w:type="spellEnd"/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box P3 (FOXP</w:t>
            </w:r>
            <w:proofErr w:type="gramStart"/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B038B6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proofErr w:type="gramEnd"/>
            <w:r w:rsidRPr="00B038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regulatory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 cells in inflammatory bo</w:t>
            </w:r>
            <w:bookmarkStart w:id="0" w:name="_GoBack"/>
            <w:bookmarkEnd w:id="0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wel disease. </w:t>
            </w:r>
            <w:r w:rsidRPr="007E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Dig. Dis, 2011, no. 12, pp. 286-294.</w:t>
            </w:r>
          </w:p>
        </w:tc>
        <w:tc>
          <w:tcPr>
            <w:tcW w:w="2835" w:type="dxa"/>
          </w:tcPr>
          <w:p w:rsidR="0080488A" w:rsidRPr="00B038B6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88A">
              <w:rPr>
                <w:rFonts w:ascii="Times New Roman" w:hAnsi="Times New Roman" w:cs="Times New Roman"/>
                <w:sz w:val="28"/>
                <w:szCs w:val="28"/>
              </w:rPr>
              <w:t>https://onlinelibrary.wiley.com/doi/full/10.1111/j.1751-2980.2011.00505.x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Yu T.Q., Saruta M.,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Avanesyan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Fleshner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R.F., Banham H.A., Papadakis A.K. Expression and functional characterization of FOXP3CD4 regulatory T cells in ulcerative colitis.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Inflammatory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Bowel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Diseases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, 2007,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Vol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13,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no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2,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pp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. 191–199.</w:t>
            </w:r>
          </w:p>
        </w:tc>
        <w:tc>
          <w:tcPr>
            <w:tcW w:w="2835" w:type="dxa"/>
          </w:tcPr>
          <w:p w:rsidR="0080488A" w:rsidRP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88A">
              <w:rPr>
                <w:rFonts w:ascii="Times New Roman" w:hAnsi="Times New Roman" w:cs="Times New Roman"/>
                <w:sz w:val="28"/>
                <w:szCs w:val="28"/>
              </w:rPr>
              <w:t>https://onlinelibrary.wiley.com/doi/abs/10.1002/ibd.20053</w:t>
            </w:r>
          </w:p>
        </w:tc>
      </w:tr>
    </w:tbl>
    <w:p w:rsidR="002A4965" w:rsidRPr="0080488A" w:rsidRDefault="002A4965" w:rsidP="00366752">
      <w:pPr>
        <w:pStyle w:val="a4"/>
        <w:spacing w:line="360" w:lineRule="auto"/>
        <w:ind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</w:p>
    <w:sectPr w:rsidR="002A4965" w:rsidRPr="0080488A" w:rsidSect="004E36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50E59"/>
    <w:multiLevelType w:val="hybridMultilevel"/>
    <w:tmpl w:val="24B8077A"/>
    <w:lvl w:ilvl="0" w:tplc="217AAB9C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E0742"/>
    <w:multiLevelType w:val="hybridMultilevel"/>
    <w:tmpl w:val="9E3AA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F118F8"/>
    <w:multiLevelType w:val="hybridMultilevel"/>
    <w:tmpl w:val="D0B67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3C"/>
    <w:rsid w:val="000037FC"/>
    <w:rsid w:val="00043C3C"/>
    <w:rsid w:val="000A6F01"/>
    <w:rsid w:val="00102781"/>
    <w:rsid w:val="00131F7C"/>
    <w:rsid w:val="001B46AF"/>
    <w:rsid w:val="001F5721"/>
    <w:rsid w:val="00270D4E"/>
    <w:rsid w:val="002A4965"/>
    <w:rsid w:val="00353B80"/>
    <w:rsid w:val="00366752"/>
    <w:rsid w:val="003979A4"/>
    <w:rsid w:val="004053AF"/>
    <w:rsid w:val="00455DEA"/>
    <w:rsid w:val="004D1FCE"/>
    <w:rsid w:val="004E3635"/>
    <w:rsid w:val="005061A9"/>
    <w:rsid w:val="00585A0D"/>
    <w:rsid w:val="006649D2"/>
    <w:rsid w:val="00692D3A"/>
    <w:rsid w:val="007E31AF"/>
    <w:rsid w:val="007E6F60"/>
    <w:rsid w:val="0080488A"/>
    <w:rsid w:val="00906B90"/>
    <w:rsid w:val="009B09E3"/>
    <w:rsid w:val="009C4A14"/>
    <w:rsid w:val="00A34EC1"/>
    <w:rsid w:val="00A37536"/>
    <w:rsid w:val="00A479A0"/>
    <w:rsid w:val="00A82915"/>
    <w:rsid w:val="00B038B6"/>
    <w:rsid w:val="00B25953"/>
    <w:rsid w:val="00C42849"/>
    <w:rsid w:val="00C6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79D1"/>
  <w15:chartTrackingRefBased/>
  <w15:docId w15:val="{AB5231B2-09BA-4301-B65C-2E18F3A3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C3C"/>
    <w:rPr>
      <w:rFonts w:eastAsiaTheme="minorEastAsia"/>
      <w:lang w:eastAsia="zh-CN"/>
    </w:rPr>
  </w:style>
  <w:style w:type="paragraph" w:styleId="1">
    <w:name w:val="heading 1"/>
    <w:basedOn w:val="a"/>
    <w:link w:val="10"/>
    <w:uiPriority w:val="9"/>
    <w:qFormat/>
    <w:rsid w:val="00043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C3C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apple-converted-space">
    <w:name w:val="apple-converted-space"/>
    <w:basedOn w:val="a0"/>
    <w:rsid w:val="00043C3C"/>
  </w:style>
  <w:style w:type="paragraph" w:styleId="a3">
    <w:name w:val="List Paragraph"/>
    <w:basedOn w:val="a"/>
    <w:uiPriority w:val="99"/>
    <w:qFormat/>
    <w:rsid w:val="00043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列出段落"/>
    <w:basedOn w:val="a"/>
    <w:uiPriority w:val="34"/>
    <w:qFormat/>
    <w:rsid w:val="00043C3C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Times New Roman"/>
      <w:kern w:val="2"/>
      <w:sz w:val="21"/>
      <w:lang w:val="en-US"/>
    </w:rPr>
  </w:style>
  <w:style w:type="paragraph" w:customStyle="1" w:styleId="11">
    <w:name w:val="列出段落1"/>
    <w:basedOn w:val="a"/>
    <w:uiPriority w:val="34"/>
    <w:qFormat/>
    <w:rsid w:val="00043C3C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styleId="a5">
    <w:name w:val="Hyperlink"/>
    <w:basedOn w:val="a0"/>
    <w:uiPriority w:val="99"/>
    <w:semiHidden/>
    <w:unhideWhenUsed/>
    <w:rsid w:val="00043C3C"/>
    <w:rPr>
      <w:color w:val="0000FF"/>
      <w:u w:val="single"/>
    </w:rPr>
  </w:style>
  <w:style w:type="table" w:styleId="a6">
    <w:name w:val="Table Grid"/>
    <w:basedOn w:val="a1"/>
    <w:uiPriority w:val="39"/>
    <w:rsid w:val="004E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1133251" TargetMode="External"/><Relationship Id="rId5" Type="http://schemas.openxmlformats.org/officeDocument/2006/relationships/hyperlink" Target="http://www.ncbi.nlm.nih.gov/pubmed/231613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14</cp:revision>
  <dcterms:created xsi:type="dcterms:W3CDTF">2018-11-26T14:53:00Z</dcterms:created>
  <dcterms:modified xsi:type="dcterms:W3CDTF">2018-12-26T09:41:00Z</dcterms:modified>
</cp:coreProperties>
</file>