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A5D342A" w14:textId="77777777" w:rsidR="00F73F4B" w:rsidRPr="00C57358" w:rsidRDefault="00F73F4B" w:rsidP="00F73F4B">
      <w:pPr>
        <w:adjustRightInd w:val="0"/>
        <w:snapToGrid w:val="0"/>
        <w:jc w:val="right"/>
        <w:rPr>
          <w:sz w:val="28"/>
        </w:rPr>
      </w:pPr>
      <w:r w:rsidRPr="00C57358">
        <w:rPr>
          <w:sz w:val="28"/>
        </w:rPr>
        <w:t xml:space="preserve">Таблица </w:t>
      </w:r>
      <w:r>
        <w:rPr>
          <w:sz w:val="28"/>
        </w:rPr>
        <w:t>1</w:t>
      </w:r>
    </w:p>
    <w:p w14:paraId="54A6ECB3" w14:textId="77777777" w:rsidR="00F73F4B" w:rsidRPr="00C57358" w:rsidRDefault="00F73F4B" w:rsidP="00F73F4B">
      <w:pPr>
        <w:adjustRightInd w:val="0"/>
        <w:snapToGrid w:val="0"/>
        <w:spacing w:after="120"/>
        <w:jc w:val="center"/>
        <w:rPr>
          <w:sz w:val="28"/>
        </w:rPr>
      </w:pPr>
      <w:proofErr w:type="spellStart"/>
      <w:r w:rsidRPr="00C57358">
        <w:rPr>
          <w:sz w:val="28"/>
        </w:rPr>
        <w:t>Субпопуляционный</w:t>
      </w:r>
      <w:proofErr w:type="spellEnd"/>
      <w:r w:rsidRPr="00C57358">
        <w:rPr>
          <w:sz w:val="28"/>
        </w:rPr>
        <w:t xml:space="preserve"> состав лимфоцитов периферической крови у самок и самцов мышей C57Bl/6 контрольной группы, </w:t>
      </w:r>
      <w:proofErr w:type="spellStart"/>
      <w:r w:rsidRPr="00C57358">
        <w:rPr>
          <w:sz w:val="28"/>
        </w:rPr>
        <w:t>Me</w:t>
      </w:r>
      <w:proofErr w:type="spellEnd"/>
      <w:r w:rsidRPr="00C57358">
        <w:rPr>
          <w:sz w:val="28"/>
        </w:rPr>
        <w:t xml:space="preserve"> (0,25; 0,75)</w:t>
      </w:r>
    </w:p>
    <w:tbl>
      <w:tblPr>
        <w:tblStyle w:val="a3"/>
        <w:tblW w:w="9571" w:type="dxa"/>
        <w:tblLayout w:type="fixed"/>
        <w:tblLook w:val="04A0" w:firstRow="1" w:lastRow="0" w:firstColumn="1" w:lastColumn="0" w:noHBand="0" w:noVBand="1"/>
      </w:tblPr>
      <w:tblGrid>
        <w:gridCol w:w="2376"/>
        <w:gridCol w:w="1134"/>
        <w:gridCol w:w="1701"/>
        <w:gridCol w:w="1701"/>
        <w:gridCol w:w="2659"/>
      </w:tblGrid>
      <w:tr w:rsidR="00F73F4B" w:rsidRPr="001E4AB3" w14:paraId="3F46AF9C" w14:textId="77777777" w:rsidTr="00046849">
        <w:tc>
          <w:tcPr>
            <w:tcW w:w="3510" w:type="dxa"/>
            <w:gridSpan w:val="2"/>
            <w:vAlign w:val="center"/>
          </w:tcPr>
          <w:p w14:paraId="22D366C5" w14:textId="77777777" w:rsidR="00F73F4B" w:rsidRPr="00241D6A" w:rsidRDefault="00F73F4B" w:rsidP="00046849">
            <w:pPr>
              <w:ind w:right="43"/>
              <w:jc w:val="center"/>
            </w:pPr>
            <w:proofErr w:type="spellStart"/>
            <w:r w:rsidRPr="00241D6A">
              <w:t>Субпопуляции</w:t>
            </w:r>
            <w:proofErr w:type="spellEnd"/>
            <w:r w:rsidRPr="00241D6A">
              <w:t xml:space="preserve"> лимфоцитов</w:t>
            </w:r>
          </w:p>
        </w:tc>
        <w:tc>
          <w:tcPr>
            <w:tcW w:w="1701" w:type="dxa"/>
            <w:vAlign w:val="center"/>
          </w:tcPr>
          <w:p w14:paraId="231A61F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Самки</w:t>
            </w:r>
          </w:p>
        </w:tc>
        <w:tc>
          <w:tcPr>
            <w:tcW w:w="1701" w:type="dxa"/>
            <w:vAlign w:val="center"/>
          </w:tcPr>
          <w:p w14:paraId="462C343D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Самцы</w:t>
            </w:r>
          </w:p>
        </w:tc>
        <w:tc>
          <w:tcPr>
            <w:tcW w:w="2659" w:type="dxa"/>
            <w:vAlign w:val="center"/>
          </w:tcPr>
          <w:p w14:paraId="28DCF243" w14:textId="77777777" w:rsidR="00F73F4B" w:rsidRPr="00241D6A" w:rsidRDefault="00F73F4B" w:rsidP="00046849">
            <w:pPr>
              <w:jc w:val="center"/>
              <w:rPr>
                <w:rFonts w:eastAsia="SimSun"/>
              </w:rPr>
            </w:pPr>
            <w:proofErr w:type="spellStart"/>
            <w:r w:rsidRPr="00241D6A">
              <w:rPr>
                <w:rFonts w:eastAsia="SimSun"/>
                <w:lang w:val="en-US"/>
              </w:rPr>
              <w:t>Достоверность</w:t>
            </w:r>
            <w:proofErr w:type="spellEnd"/>
            <w:r w:rsidRPr="00241D6A">
              <w:rPr>
                <w:rFonts w:eastAsia="SimSun"/>
                <w:lang w:val="en-US"/>
              </w:rPr>
              <w:t xml:space="preserve"> </w:t>
            </w:r>
            <w:proofErr w:type="spellStart"/>
            <w:r w:rsidRPr="00241D6A">
              <w:rPr>
                <w:rFonts w:eastAsia="SimSun"/>
                <w:lang w:val="en-US"/>
              </w:rPr>
              <w:t>различий</w:t>
            </w:r>
            <w:proofErr w:type="spellEnd"/>
          </w:p>
        </w:tc>
      </w:tr>
      <w:tr w:rsidR="00F73F4B" w:rsidRPr="00C57358" w14:paraId="3863B08E" w14:textId="77777777" w:rsidTr="00046849">
        <w:tc>
          <w:tcPr>
            <w:tcW w:w="3510" w:type="dxa"/>
            <w:gridSpan w:val="2"/>
            <w:vAlign w:val="center"/>
          </w:tcPr>
          <w:p w14:paraId="15CBC12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Лейкоциты, млн/мл (WBC)</w:t>
            </w:r>
          </w:p>
        </w:tc>
        <w:tc>
          <w:tcPr>
            <w:tcW w:w="1701" w:type="dxa"/>
            <w:vAlign w:val="center"/>
          </w:tcPr>
          <w:p w14:paraId="44BDA19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7,80</w:t>
            </w:r>
          </w:p>
          <w:p w14:paraId="39ED5FC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(6,70; 8,80)</w:t>
            </w:r>
          </w:p>
        </w:tc>
        <w:tc>
          <w:tcPr>
            <w:tcW w:w="1701" w:type="dxa"/>
            <w:vAlign w:val="center"/>
          </w:tcPr>
          <w:p w14:paraId="627FE5B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9,38</w:t>
            </w:r>
          </w:p>
          <w:p w14:paraId="5F9BFBC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(8,80; 9,60)</w:t>
            </w:r>
          </w:p>
        </w:tc>
        <w:tc>
          <w:tcPr>
            <w:tcW w:w="2659" w:type="dxa"/>
            <w:vAlign w:val="center"/>
          </w:tcPr>
          <w:p w14:paraId="7E164BB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0,08</w:t>
            </w:r>
          </w:p>
        </w:tc>
      </w:tr>
      <w:tr w:rsidR="00F73F4B" w:rsidRPr="00C57358" w14:paraId="29932BC4" w14:textId="77777777" w:rsidTr="00046849">
        <w:tc>
          <w:tcPr>
            <w:tcW w:w="3510" w:type="dxa"/>
            <w:gridSpan w:val="2"/>
            <w:vAlign w:val="center"/>
          </w:tcPr>
          <w:p w14:paraId="637901D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Лимфоциты, млн/мл (LY)</w:t>
            </w:r>
          </w:p>
        </w:tc>
        <w:tc>
          <w:tcPr>
            <w:tcW w:w="1701" w:type="dxa"/>
            <w:vAlign w:val="center"/>
          </w:tcPr>
          <w:p w14:paraId="34486F2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5,30</w:t>
            </w:r>
          </w:p>
          <w:p w14:paraId="59DDAB3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(4,70; 7,80)</w:t>
            </w:r>
          </w:p>
        </w:tc>
        <w:tc>
          <w:tcPr>
            <w:tcW w:w="1701" w:type="dxa"/>
            <w:vAlign w:val="center"/>
          </w:tcPr>
          <w:p w14:paraId="27FD908E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7,50</w:t>
            </w:r>
          </w:p>
          <w:p w14:paraId="459F66E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(7,06; 8,10)</w:t>
            </w:r>
          </w:p>
        </w:tc>
        <w:tc>
          <w:tcPr>
            <w:tcW w:w="2659" w:type="dxa"/>
            <w:vAlign w:val="center"/>
          </w:tcPr>
          <w:p w14:paraId="0F3CC66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0,26</w:t>
            </w:r>
          </w:p>
        </w:tc>
      </w:tr>
      <w:tr w:rsidR="00F73F4B" w:rsidRPr="00C57358" w14:paraId="17569AB0" w14:textId="77777777" w:rsidTr="00046849">
        <w:tc>
          <w:tcPr>
            <w:tcW w:w="2376" w:type="dxa"/>
            <w:vMerge w:val="restart"/>
            <w:vAlign w:val="center"/>
          </w:tcPr>
          <w:p w14:paraId="0E02BE5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Т-хелперы (CD4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A4CFC0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166D6C0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16,76</w:t>
            </w:r>
          </w:p>
          <w:p w14:paraId="7ED5964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(14,80; 17,70)</w:t>
            </w:r>
          </w:p>
        </w:tc>
        <w:tc>
          <w:tcPr>
            <w:tcW w:w="1701" w:type="dxa"/>
            <w:vAlign w:val="center"/>
          </w:tcPr>
          <w:p w14:paraId="62F28D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14,84</w:t>
            </w:r>
          </w:p>
          <w:p w14:paraId="0E1C664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(14,14; 16,0)</w:t>
            </w:r>
          </w:p>
        </w:tc>
        <w:tc>
          <w:tcPr>
            <w:tcW w:w="2659" w:type="dxa"/>
            <w:vAlign w:val="center"/>
          </w:tcPr>
          <w:p w14:paraId="728C9C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69473508" w14:textId="77777777" w:rsidTr="00046849">
        <w:tc>
          <w:tcPr>
            <w:tcW w:w="2376" w:type="dxa"/>
            <w:vMerge/>
            <w:vAlign w:val="center"/>
          </w:tcPr>
          <w:p w14:paraId="707906C2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6E0542D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5AE28122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0,99</w:t>
            </w:r>
          </w:p>
          <w:p w14:paraId="3E80CA6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(0,75; 1,21)</w:t>
            </w:r>
          </w:p>
        </w:tc>
        <w:tc>
          <w:tcPr>
            <w:tcW w:w="1701" w:type="dxa"/>
            <w:vAlign w:val="center"/>
          </w:tcPr>
          <w:p w14:paraId="6DE164B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1,18</w:t>
            </w:r>
          </w:p>
          <w:p w14:paraId="7AE2EE5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(1,13, 1,23)</w:t>
            </w:r>
          </w:p>
        </w:tc>
        <w:tc>
          <w:tcPr>
            <w:tcW w:w="2659" w:type="dxa"/>
            <w:vAlign w:val="center"/>
          </w:tcPr>
          <w:p w14:paraId="6EDE82A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  <w:tr w:rsidR="00F73F4B" w:rsidRPr="00C57358" w14:paraId="12D7918A" w14:textId="77777777" w:rsidTr="00046849">
        <w:tc>
          <w:tcPr>
            <w:tcW w:w="2376" w:type="dxa"/>
            <w:vMerge w:val="restart"/>
            <w:vAlign w:val="center"/>
          </w:tcPr>
          <w:p w14:paraId="6BCA513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Цитотоксические Т-лимфоциты (CD3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CD8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4B99A41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6039A1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16,00</w:t>
            </w:r>
          </w:p>
          <w:p w14:paraId="1E0161A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(13,80; 17,65)</w:t>
            </w:r>
          </w:p>
        </w:tc>
        <w:tc>
          <w:tcPr>
            <w:tcW w:w="1701" w:type="dxa"/>
            <w:vAlign w:val="center"/>
          </w:tcPr>
          <w:p w14:paraId="360C5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12,88</w:t>
            </w:r>
          </w:p>
          <w:p w14:paraId="11F0388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(11,20, 14,60)</w:t>
            </w:r>
          </w:p>
        </w:tc>
        <w:tc>
          <w:tcPr>
            <w:tcW w:w="2659" w:type="dxa"/>
            <w:vAlign w:val="center"/>
          </w:tcPr>
          <w:p w14:paraId="47B55701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2CDB7436" w14:textId="77777777" w:rsidTr="00046849">
        <w:tc>
          <w:tcPr>
            <w:tcW w:w="2376" w:type="dxa"/>
            <w:vMerge/>
            <w:vAlign w:val="center"/>
          </w:tcPr>
          <w:p w14:paraId="72F71C3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0D0370C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580B797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1,04</w:t>
            </w:r>
          </w:p>
          <w:p w14:paraId="4B3F698D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(0,71; 1,17)</w:t>
            </w:r>
          </w:p>
        </w:tc>
        <w:tc>
          <w:tcPr>
            <w:tcW w:w="1701" w:type="dxa"/>
            <w:vAlign w:val="center"/>
          </w:tcPr>
          <w:p w14:paraId="5AC11D37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1,00</w:t>
            </w:r>
          </w:p>
          <w:p w14:paraId="3D8A9C6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(0,91, 1,17)</w:t>
            </w:r>
          </w:p>
        </w:tc>
        <w:tc>
          <w:tcPr>
            <w:tcW w:w="2659" w:type="dxa"/>
            <w:vAlign w:val="center"/>
          </w:tcPr>
          <w:p w14:paraId="099ED1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0,72</w:t>
            </w:r>
          </w:p>
        </w:tc>
      </w:tr>
      <w:tr w:rsidR="00F73F4B" w:rsidRPr="00C57358" w14:paraId="1B5A09FC" w14:textId="77777777" w:rsidTr="00046849">
        <w:tc>
          <w:tcPr>
            <w:tcW w:w="2376" w:type="dxa"/>
            <w:vMerge w:val="restart"/>
            <w:vAlign w:val="center"/>
          </w:tcPr>
          <w:p w14:paraId="7A05F3B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В-лимфоциты</w:t>
            </w:r>
          </w:p>
          <w:p w14:paraId="5164755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(CD3</w:t>
            </w:r>
            <w:r w:rsidRPr="00241D6A">
              <w:rPr>
                <w:vertAlign w:val="superscript"/>
              </w:rPr>
              <w:t>-</w:t>
            </w:r>
            <w:r w:rsidRPr="00241D6A">
              <w:t>CD19</w:t>
            </w:r>
            <w:r w:rsidRPr="00241D6A">
              <w:rPr>
                <w:vertAlign w:val="superscript"/>
              </w:rPr>
              <w:t>+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15F7A3F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лф</w:t>
            </w:r>
            <w:proofErr w:type="spellEnd"/>
          </w:p>
        </w:tc>
        <w:tc>
          <w:tcPr>
            <w:tcW w:w="1701" w:type="dxa"/>
            <w:vAlign w:val="center"/>
          </w:tcPr>
          <w:p w14:paraId="585913A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58,10</w:t>
            </w:r>
          </w:p>
          <w:p w14:paraId="6C5352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(53,70; 60,35)</w:t>
            </w:r>
          </w:p>
        </w:tc>
        <w:tc>
          <w:tcPr>
            <w:tcW w:w="1701" w:type="dxa"/>
            <w:vAlign w:val="center"/>
          </w:tcPr>
          <w:p w14:paraId="5384226C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65,80</w:t>
            </w:r>
          </w:p>
          <w:p w14:paraId="0F296B2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(57,90, 66,80)</w:t>
            </w:r>
          </w:p>
        </w:tc>
        <w:tc>
          <w:tcPr>
            <w:tcW w:w="2659" w:type="dxa"/>
            <w:vAlign w:val="center"/>
          </w:tcPr>
          <w:p w14:paraId="4301139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0,80</w:t>
            </w:r>
          </w:p>
        </w:tc>
      </w:tr>
      <w:tr w:rsidR="00F73F4B" w:rsidRPr="00C57358" w14:paraId="37AECC91" w14:textId="77777777" w:rsidTr="00046849">
        <w:tc>
          <w:tcPr>
            <w:tcW w:w="2376" w:type="dxa"/>
            <w:vMerge/>
            <w:vAlign w:val="center"/>
          </w:tcPr>
          <w:p w14:paraId="683DD8DE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27B5B21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млн/мл</w:t>
            </w:r>
          </w:p>
        </w:tc>
        <w:tc>
          <w:tcPr>
            <w:tcW w:w="1701" w:type="dxa"/>
            <w:vAlign w:val="center"/>
          </w:tcPr>
          <w:p w14:paraId="007CDB7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3,40</w:t>
            </w:r>
          </w:p>
          <w:p w14:paraId="50FD35C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(2,52; 4,77)</w:t>
            </w:r>
          </w:p>
        </w:tc>
        <w:tc>
          <w:tcPr>
            <w:tcW w:w="1701" w:type="dxa"/>
            <w:vAlign w:val="center"/>
          </w:tcPr>
          <w:p w14:paraId="1D051EAA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4,49</w:t>
            </w:r>
          </w:p>
          <w:p w14:paraId="687619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(3,04, 5,35)</w:t>
            </w:r>
          </w:p>
        </w:tc>
        <w:tc>
          <w:tcPr>
            <w:tcW w:w="2659" w:type="dxa"/>
            <w:vAlign w:val="center"/>
          </w:tcPr>
          <w:p w14:paraId="15AA0C8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0,24</w:t>
            </w:r>
          </w:p>
        </w:tc>
      </w:tr>
      <w:tr w:rsidR="00F73F4B" w:rsidRPr="00C57358" w14:paraId="31220474" w14:textId="77777777" w:rsidTr="00046849">
        <w:tc>
          <w:tcPr>
            <w:tcW w:w="2376" w:type="dxa"/>
            <w:vMerge w:val="restart"/>
            <w:vAlign w:val="center"/>
          </w:tcPr>
          <w:p w14:paraId="47EA9B63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Регуляторные Т-лимфоциты</w:t>
            </w:r>
          </w:p>
          <w:p w14:paraId="0E57EE1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</w:t>
            </w:r>
            <w:r w:rsidRPr="00241D6A">
              <w:rPr>
                <w:lang w:val="en-US"/>
              </w:rPr>
              <w:t>CD</w:t>
            </w:r>
            <w:r w:rsidRPr="00241D6A">
              <w:t>4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rPr>
                <w:lang w:val="en-US"/>
              </w:rPr>
              <w:t>CD</w:t>
            </w:r>
            <w:r w:rsidRPr="00241D6A">
              <w:t>25</w:t>
            </w:r>
            <w:r w:rsidRPr="00241D6A">
              <w:rPr>
                <w:rFonts w:ascii="Cambria Math" w:hAnsi="Cambria Math" w:cs="Cambria Math"/>
              </w:rPr>
              <w:t>⁺</w:t>
            </w:r>
            <w:proofErr w:type="spellStart"/>
            <w:r w:rsidRPr="00241D6A">
              <w:rPr>
                <w:lang w:val="en-US"/>
              </w:rPr>
              <w:t>Foxp</w:t>
            </w:r>
            <w:proofErr w:type="spellEnd"/>
            <w:r w:rsidRPr="00241D6A">
              <w:t>3</w:t>
            </w:r>
            <w:r w:rsidRPr="00241D6A">
              <w:rPr>
                <w:rFonts w:ascii="Cambria Math" w:hAnsi="Cambria Math" w:cs="Cambria Math"/>
              </w:rPr>
              <w:t>⁺</w:t>
            </w:r>
            <w:r w:rsidRPr="00241D6A">
              <w:t>)</w:t>
            </w:r>
          </w:p>
        </w:tc>
        <w:tc>
          <w:tcPr>
            <w:tcW w:w="1134" w:type="dxa"/>
            <w:vAlign w:val="center"/>
          </w:tcPr>
          <w:p w14:paraId="5E55F35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 xml:space="preserve">% от </w:t>
            </w:r>
            <w:proofErr w:type="spellStart"/>
            <w:r w:rsidRPr="00241D6A">
              <w:t>Тх</w:t>
            </w:r>
            <w:proofErr w:type="spellEnd"/>
          </w:p>
        </w:tc>
        <w:tc>
          <w:tcPr>
            <w:tcW w:w="1701" w:type="dxa"/>
            <w:vAlign w:val="center"/>
          </w:tcPr>
          <w:p w14:paraId="22657500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6,80</w:t>
            </w:r>
          </w:p>
          <w:p w14:paraId="29464869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(5,40;10,20)</w:t>
            </w:r>
          </w:p>
        </w:tc>
        <w:tc>
          <w:tcPr>
            <w:tcW w:w="1701" w:type="dxa"/>
            <w:vAlign w:val="center"/>
          </w:tcPr>
          <w:p w14:paraId="08549B98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2,80</w:t>
            </w:r>
          </w:p>
          <w:p w14:paraId="30E1D995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(2,40, 3,60)</w:t>
            </w:r>
          </w:p>
        </w:tc>
        <w:tc>
          <w:tcPr>
            <w:tcW w:w="2659" w:type="dxa"/>
            <w:vAlign w:val="center"/>
          </w:tcPr>
          <w:p w14:paraId="6364E7EB" w14:textId="77777777" w:rsidR="00F73F4B" w:rsidRPr="00241D6A" w:rsidRDefault="00F73F4B" w:rsidP="00046849">
            <w:pPr>
              <w:ind w:right="43"/>
              <w:jc w:val="center"/>
              <w:rPr>
                <w:b/>
                <w:bCs/>
                <w:color w:val="FF0000"/>
              </w:rPr>
            </w:pPr>
            <w:r w:rsidRPr="00241D6A">
              <w:rPr>
                <w:b/>
                <w:bCs/>
                <w:color w:val="FF0000"/>
              </w:rPr>
              <w:t>0,02</w:t>
            </w:r>
          </w:p>
        </w:tc>
      </w:tr>
      <w:tr w:rsidR="00F73F4B" w:rsidRPr="00C57358" w14:paraId="627D083B" w14:textId="77777777" w:rsidTr="00046849">
        <w:tc>
          <w:tcPr>
            <w:tcW w:w="2376" w:type="dxa"/>
            <w:vMerge/>
          </w:tcPr>
          <w:p w14:paraId="0111A711" w14:textId="77777777" w:rsidR="00F73F4B" w:rsidRPr="00241D6A" w:rsidRDefault="00F73F4B" w:rsidP="00046849">
            <w:pPr>
              <w:spacing w:line="360" w:lineRule="auto"/>
              <w:ind w:right="43"/>
              <w:contextualSpacing/>
              <w:jc w:val="center"/>
              <w:rPr>
                <w:i/>
              </w:rPr>
            </w:pPr>
          </w:p>
        </w:tc>
        <w:tc>
          <w:tcPr>
            <w:tcW w:w="1134" w:type="dxa"/>
            <w:vAlign w:val="center"/>
          </w:tcPr>
          <w:p w14:paraId="1D42F13F" w14:textId="77777777" w:rsidR="00F73F4B" w:rsidRPr="00241D6A" w:rsidRDefault="00F73F4B" w:rsidP="00046849">
            <w:pPr>
              <w:ind w:right="43"/>
              <w:jc w:val="center"/>
            </w:pPr>
            <w:proofErr w:type="spellStart"/>
            <w:r w:rsidRPr="00241D6A">
              <w:t>тыс</w:t>
            </w:r>
            <w:proofErr w:type="spellEnd"/>
            <w:r w:rsidRPr="00241D6A">
              <w:t>/мл</w:t>
            </w:r>
          </w:p>
        </w:tc>
        <w:tc>
          <w:tcPr>
            <w:tcW w:w="1701" w:type="dxa"/>
            <w:vAlign w:val="center"/>
          </w:tcPr>
          <w:p w14:paraId="2C2DCEF6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41,88</w:t>
            </w:r>
          </w:p>
          <w:p w14:paraId="746986DF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(40,50;48,62)</w:t>
            </w:r>
          </w:p>
        </w:tc>
        <w:tc>
          <w:tcPr>
            <w:tcW w:w="1701" w:type="dxa"/>
            <w:vAlign w:val="center"/>
          </w:tcPr>
          <w:p w14:paraId="0F6816DB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33,56</w:t>
            </w:r>
          </w:p>
          <w:p w14:paraId="274198C4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(25,66, 46,81)</w:t>
            </w:r>
          </w:p>
        </w:tc>
        <w:tc>
          <w:tcPr>
            <w:tcW w:w="2659" w:type="dxa"/>
            <w:vAlign w:val="center"/>
          </w:tcPr>
          <w:p w14:paraId="1A8E5C71" w14:textId="77777777" w:rsidR="00F73F4B" w:rsidRPr="00241D6A" w:rsidRDefault="00F73F4B" w:rsidP="00046849">
            <w:pPr>
              <w:ind w:right="43"/>
              <w:jc w:val="center"/>
            </w:pPr>
            <w:r w:rsidRPr="00241D6A">
              <w:t>0,21</w:t>
            </w:r>
          </w:p>
        </w:tc>
      </w:tr>
    </w:tbl>
    <w:p w14:paraId="71B1AD93" w14:textId="77777777" w:rsidR="00F73F4B" w:rsidRPr="00241D6A" w:rsidRDefault="00F73F4B" w:rsidP="00F73F4B">
      <w:pPr>
        <w:adjustRightInd w:val="0"/>
        <w:snapToGrid w:val="0"/>
        <w:ind w:right="45"/>
        <w:jc w:val="right"/>
      </w:pPr>
      <w:r w:rsidRPr="00241D6A">
        <w:t xml:space="preserve">Условные обозначения: </w:t>
      </w:r>
      <w:proofErr w:type="spellStart"/>
      <w:r w:rsidRPr="00241D6A">
        <w:t>лф</w:t>
      </w:r>
      <w:proofErr w:type="spellEnd"/>
      <w:r w:rsidRPr="00241D6A">
        <w:t xml:space="preserve"> – лимфоциты; </w:t>
      </w:r>
      <w:proofErr w:type="spellStart"/>
      <w:r w:rsidRPr="00241D6A">
        <w:t>Тх</w:t>
      </w:r>
      <w:proofErr w:type="spellEnd"/>
      <w:r w:rsidRPr="00241D6A">
        <w:t xml:space="preserve"> – Т-хелперы</w:t>
      </w:r>
    </w:p>
    <w:p w14:paraId="272691AA" w14:textId="77777777" w:rsidR="002A4965" w:rsidRDefault="002A4965">
      <w:bookmarkStart w:id="0" w:name="_GoBack"/>
      <w:bookmarkEnd w:id="0"/>
    </w:p>
    <w:sectPr w:rsidR="002A496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 Math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0BC2"/>
    <w:rsid w:val="002A4965"/>
    <w:rsid w:val="007E31AF"/>
    <w:rsid w:val="00AE0BC2"/>
    <w:rsid w:val="00F73F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AC23D72-1DE1-47A3-BD07-5B5031DBE6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73F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F73F4B"/>
    <w:pPr>
      <w:spacing w:after="0" w:line="240" w:lineRule="auto"/>
    </w:pPr>
    <w:rPr>
      <w:rFonts w:eastAsiaTheme="minorEastAsia"/>
      <w:szCs w:val="21"/>
      <w:lang w:eastAsia="zh-C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138</Words>
  <Characters>789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Катерина Постовалова</dc:creator>
  <cp:keywords/>
  <dc:description/>
  <cp:lastModifiedBy>Катерина Постовалова</cp:lastModifiedBy>
  <cp:revision>2</cp:revision>
  <dcterms:created xsi:type="dcterms:W3CDTF">2018-11-27T09:21:00Z</dcterms:created>
  <dcterms:modified xsi:type="dcterms:W3CDTF">2018-11-27T09:21:00Z</dcterms:modified>
</cp:coreProperties>
</file>