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3A8" w:rsidRDefault="00E263A8" w:rsidP="00E263A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Резюме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Проведено исследование оценки </w:t>
      </w:r>
      <w:r>
        <w:rPr>
          <w:rFonts w:ascii="Times New Roman" w:hAnsi="Times New Roman" w:cs="Times New Roman"/>
          <w:sz w:val="28"/>
          <w:szCs w:val="28"/>
        </w:rPr>
        <w:t xml:space="preserve">влияния иммуномодуляторов на систему ингибиторов гидролаз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лактоферрина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взрослых пациентов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внебольничной пневмонией (ВП). Показано, что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назначение иммуномодуляторов в комплексе с антибактериальной терапией у больных с ВП в разной степени могут оказать </w:t>
      </w:r>
      <w:r>
        <w:rPr>
          <w:rFonts w:ascii="Times New Roman" w:hAnsi="Times New Roman" w:cs="Times New Roman"/>
          <w:sz w:val="28"/>
          <w:szCs w:val="28"/>
        </w:rPr>
        <w:t xml:space="preserve">действия на кинетику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реактантов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острой фазы воспаления. Эффект </w:t>
      </w:r>
      <w:r>
        <w:rPr>
          <w:rFonts w:ascii="Times New Roman" w:hAnsi="Times New Roman" w:cs="Times New Roman"/>
          <w:bCs/>
          <w:sz w:val="28"/>
          <w:szCs w:val="28"/>
        </w:rPr>
        <w:t>Бронхо-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ваксома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отвечает классическим канонам ответа на воспалительный процесс – активация блока позитивных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острофазовых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реактантов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-антитрипсин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лактоферрин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фоне торможения (блокирования) панели негативных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реактантов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острой фазы воспаления </w:t>
      </w:r>
      <w:r>
        <w:rPr>
          <w:rFonts w:ascii="Times New Roman" w:hAnsi="Times New Roman" w:cs="Times New Roman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-макроглобулин</w:t>
      </w:r>
      <w:r>
        <w:rPr>
          <w:rFonts w:ascii="Times New Roman" w:hAnsi="Times New Roman" w:cs="Times New Roman"/>
          <w:bCs/>
          <w:sz w:val="28"/>
          <w:szCs w:val="28"/>
        </w:rPr>
        <w:t>. Полиоксидоний оказывает заметное влияние лишь на нейтрофилы, секретирующие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лактоферрин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Иммуновак-ВП4 способствует лишь кратковременной секреции данного белка. </w:t>
      </w:r>
    </w:p>
    <w:p w:rsidR="00E263A8" w:rsidRDefault="00E263A8" w:rsidP="00E263A8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bookmarkStart w:id="0" w:name="_GoBack"/>
      <w:r w:rsidRPr="00E263A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Summary.</w:t>
      </w:r>
      <w:bookmarkEnd w:id="0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The study of the influence of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immunomodulators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on the system of hydrolase and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lactoferrin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inhibitors in adult patients with community-acquired pneumonia (IP). It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is shown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that the appointment of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immunomodulators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in combination with antibiotic therapy in patients with IP to varying degrees can have effects on the kinetics of the acute phase of inflammation reagents. The effect of Broncho-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waxom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corresponds to the classical canons of the response to the inflammatory process – activation of the block of positive acute phase reactants </w:t>
      </w:r>
      <w:r>
        <w:rPr>
          <w:rFonts w:ascii="Times New Roman" w:hAnsi="Times New Roman" w:cs="Times New Roman"/>
          <w:bCs/>
          <w:iCs/>
          <w:sz w:val="28"/>
          <w:szCs w:val="28"/>
        </w:rPr>
        <w:t>α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1-antitrypsin and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lactoferrin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against the background of inhibition (blocking) of the panel of negative reagents of the acute phase of inflammation </w:t>
      </w:r>
      <w:r>
        <w:rPr>
          <w:rFonts w:ascii="Times New Roman" w:hAnsi="Times New Roman" w:cs="Times New Roman"/>
          <w:bCs/>
          <w:iCs/>
          <w:sz w:val="28"/>
          <w:szCs w:val="28"/>
        </w:rPr>
        <w:t>α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2-macroglobulin.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Polyoxidonium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has a noticeable effect only on neutrophils secreting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lactoferrin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. Immunovac-VP4 promotes only short-term secretion of this protein.</w:t>
      </w:r>
    </w:p>
    <w:p w:rsidR="003D019A" w:rsidRPr="00E263A8" w:rsidRDefault="003D019A">
      <w:pPr>
        <w:rPr>
          <w:lang w:val="en-US"/>
        </w:rPr>
      </w:pPr>
    </w:p>
    <w:sectPr w:rsidR="003D019A" w:rsidRPr="00E2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17"/>
    <w:rsid w:val="003D019A"/>
    <w:rsid w:val="00702317"/>
    <w:rsid w:val="00E2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867EB-E1A8-4671-ABCB-FB42B89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A8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2018-06-14T20:33:00Z</dcterms:created>
  <dcterms:modified xsi:type="dcterms:W3CDTF">2018-06-14T20:34:00Z</dcterms:modified>
</cp:coreProperties>
</file>